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13AD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6108CB5B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296E5779" w14:textId="77777777" w:rsidR="00C85073" w:rsidRDefault="00C85073">
      <w:pPr>
        <w:pStyle w:val="Corpsdetexte"/>
        <w:rPr>
          <w:b/>
          <w:color w:val="005EB8"/>
          <w:sz w:val="28"/>
        </w:rPr>
      </w:pPr>
      <w:r>
        <w:rPr>
          <w:b/>
          <w:color w:val="005EB8"/>
          <w:sz w:val="28"/>
        </w:rPr>
        <w:t>Annexe 6 : Mise en ouvre article 7.1</w:t>
      </w:r>
    </w:p>
    <w:p w14:paraId="091E88A3" w14:textId="77777777" w:rsidR="00C85073" w:rsidRDefault="00C85073">
      <w:pPr>
        <w:pStyle w:val="Corpsdetexte"/>
        <w:rPr>
          <w:b/>
          <w:color w:val="005EB8"/>
          <w:sz w:val="28"/>
        </w:rPr>
      </w:pPr>
    </w:p>
    <w:p w14:paraId="736C9A39" w14:textId="77777777" w:rsidR="00C85073" w:rsidRDefault="00C85073">
      <w:pPr>
        <w:pStyle w:val="Corpsdetexte"/>
        <w:rPr>
          <w:rFonts w:ascii="Times New Roman"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543"/>
        <w:gridCol w:w="8616"/>
      </w:tblGrid>
      <w:tr w:rsidR="00C85073" w14:paraId="73FFA4F9" w14:textId="77777777" w:rsidTr="003E6854">
        <w:trPr>
          <w:trHeight w:val="567"/>
        </w:trPr>
        <w:tc>
          <w:tcPr>
            <w:tcW w:w="1543" w:type="dxa"/>
          </w:tcPr>
          <w:p w14:paraId="286561B6" w14:textId="77777777" w:rsidR="00C85073" w:rsidRDefault="00C85073" w:rsidP="003E6854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54625743" w14:textId="77777777" w:rsidR="00C85073" w:rsidRDefault="00C85073" w:rsidP="003E6854">
            <w:pPr>
              <w:pStyle w:val="TableParagraph"/>
              <w:spacing w:before="1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Identification :</w:t>
            </w:r>
          </w:p>
        </w:tc>
        <w:tc>
          <w:tcPr>
            <w:tcW w:w="8616" w:type="dxa"/>
          </w:tcPr>
          <w:p w14:paraId="5BBA7E81" w14:textId="77777777" w:rsidR="00C85073" w:rsidRDefault="00C85073" w:rsidP="003E6854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1C93FA8D" w14:textId="77777777" w:rsidR="00C85073" w:rsidRDefault="00C85073" w:rsidP="003E6854">
            <w:pPr>
              <w:pStyle w:val="TableParagraph"/>
              <w:spacing w:before="1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Annexe 6 du contrat GRD-F - </w:t>
            </w:r>
            <w:r w:rsidRPr="004D2399">
              <w:rPr>
                <w:b/>
                <w:noProof/>
                <w:color w:val="005EB8"/>
                <w:sz w:val="20"/>
              </w:rPr>
              <w:t>Régie d'Electricité d'Elbeuf</w:t>
            </w:r>
          </w:p>
        </w:tc>
      </w:tr>
      <w:tr w:rsidR="00C85073" w14:paraId="5218004D" w14:textId="77777777" w:rsidTr="003E6854">
        <w:trPr>
          <w:trHeight w:val="294"/>
        </w:trPr>
        <w:tc>
          <w:tcPr>
            <w:tcW w:w="1543" w:type="dxa"/>
          </w:tcPr>
          <w:p w14:paraId="3168D5AD" w14:textId="77777777" w:rsidR="00C85073" w:rsidRDefault="00C85073" w:rsidP="003E6854">
            <w:pPr>
              <w:pStyle w:val="TableParagraph"/>
              <w:spacing w:before="10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Version :</w:t>
            </w:r>
          </w:p>
        </w:tc>
        <w:tc>
          <w:tcPr>
            <w:tcW w:w="8616" w:type="dxa"/>
          </w:tcPr>
          <w:p w14:paraId="1DDA1302" w14:textId="77777777" w:rsidR="00C85073" w:rsidRDefault="00C85073" w:rsidP="003E6854">
            <w:pPr>
              <w:pStyle w:val="TableParagraph"/>
              <w:spacing w:line="236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9.0</w:t>
            </w:r>
          </w:p>
        </w:tc>
      </w:tr>
      <w:tr w:rsidR="00C85073" w14:paraId="6DFE538A" w14:textId="77777777" w:rsidTr="003E6854">
        <w:trPr>
          <w:trHeight w:val="242"/>
        </w:trPr>
        <w:tc>
          <w:tcPr>
            <w:tcW w:w="1543" w:type="dxa"/>
          </w:tcPr>
          <w:p w14:paraId="7DD07C3C" w14:textId="77777777" w:rsidR="00C85073" w:rsidRDefault="00C85073" w:rsidP="003E6854">
            <w:pPr>
              <w:pStyle w:val="TableParagraph"/>
              <w:spacing w:before="2" w:line="220" w:lineRule="exact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Nb. </w:t>
            </w:r>
            <w:proofErr w:type="gramStart"/>
            <w:r>
              <w:rPr>
                <w:b/>
                <w:color w:val="005EB8"/>
                <w:sz w:val="20"/>
              </w:rPr>
              <w:t>de</w:t>
            </w:r>
            <w:proofErr w:type="gramEnd"/>
            <w:r>
              <w:rPr>
                <w:b/>
                <w:color w:val="005EB8"/>
                <w:sz w:val="20"/>
              </w:rPr>
              <w:t xml:space="preserve"> pages :</w:t>
            </w:r>
          </w:p>
        </w:tc>
        <w:tc>
          <w:tcPr>
            <w:tcW w:w="8616" w:type="dxa"/>
          </w:tcPr>
          <w:p w14:paraId="423B0A13" w14:textId="77777777" w:rsidR="00C85073" w:rsidRDefault="00C85073" w:rsidP="003E6854">
            <w:pPr>
              <w:pStyle w:val="TableParagraph"/>
              <w:spacing w:before="2" w:line="220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w w:val="99"/>
                <w:sz w:val="20"/>
              </w:rPr>
              <w:t>2</w:t>
            </w:r>
          </w:p>
        </w:tc>
      </w:tr>
    </w:tbl>
    <w:p w14:paraId="50D7D0C4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0270BDF5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3A340FCF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7A4F4DB1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4F6479CF" w14:textId="77777777" w:rsidR="00C85073" w:rsidRDefault="00C85073" w:rsidP="007977AA">
      <w:pPr>
        <w:pStyle w:val="Corpsdetexte"/>
        <w:jc w:val="center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0A6732C8" wp14:editId="3413E6EB">
            <wp:extent cx="3634740" cy="3634740"/>
            <wp:effectExtent l="0" t="0" r="381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1D370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47395657" w14:textId="77777777" w:rsidR="00C85073" w:rsidRDefault="00C85073">
      <w:pPr>
        <w:pStyle w:val="Corpsdetexte"/>
        <w:rPr>
          <w:rFonts w:ascii="Times New Roman"/>
          <w:sz w:val="20"/>
        </w:rPr>
      </w:pPr>
    </w:p>
    <w:p w14:paraId="7DB21B99" w14:textId="77777777" w:rsidR="00C85073" w:rsidRDefault="00C85073">
      <w:pPr>
        <w:pStyle w:val="Corpsdetexte"/>
        <w:spacing w:before="8"/>
        <w:rPr>
          <w:rFonts w:ascii="Times New Roman"/>
          <w:sz w:val="25"/>
        </w:rPr>
      </w:pPr>
    </w:p>
    <w:p w14:paraId="34D9AE2D" w14:textId="77777777" w:rsidR="00C85073" w:rsidRDefault="00C85073">
      <w:pPr>
        <w:spacing w:before="93"/>
        <w:ind w:left="730"/>
        <w:rPr>
          <w:rFonts w:ascii="Arial"/>
          <w:sz w:val="20"/>
        </w:rPr>
      </w:pPr>
      <w:r>
        <w:rPr>
          <w:rFonts w:ascii="Arial"/>
          <w:sz w:val="20"/>
        </w:rPr>
        <w:t>Cette annexe :</w:t>
      </w:r>
    </w:p>
    <w:p w14:paraId="1DFBB5EA" w14:textId="77777777" w:rsidR="00C85073" w:rsidRDefault="00C85073">
      <w:pPr>
        <w:pStyle w:val="Corpsdetexte"/>
        <w:spacing w:before="1"/>
        <w:rPr>
          <w:rFonts w:ascii="Arial"/>
          <w:sz w:val="20"/>
        </w:rPr>
      </w:pPr>
    </w:p>
    <w:p w14:paraId="5C7E8302" w14:textId="77777777" w:rsidR="00C85073" w:rsidRDefault="00C85073">
      <w:pPr>
        <w:pStyle w:val="Paragraphedeliste"/>
        <w:numPr>
          <w:ilvl w:val="0"/>
          <w:numId w:val="3"/>
        </w:numPr>
        <w:tabs>
          <w:tab w:val="left" w:pos="1089"/>
          <w:tab w:val="left" w:pos="1090"/>
        </w:tabs>
        <w:ind w:right="536"/>
        <w:rPr>
          <w:sz w:val="20"/>
        </w:rPr>
      </w:pPr>
      <w:proofErr w:type="gramStart"/>
      <w:r>
        <w:rPr>
          <w:sz w:val="20"/>
        </w:rPr>
        <w:t>indique</w:t>
      </w:r>
      <w:proofErr w:type="gramEnd"/>
      <w:r>
        <w:rPr>
          <w:sz w:val="20"/>
        </w:rPr>
        <w:t xml:space="preserve"> le rythme auquel de Fournisseur transmet au GRD les Créances Réseau Irrécouvrables (la « Période</w:t>
      </w:r>
      <w:r>
        <w:rPr>
          <w:spacing w:val="-2"/>
          <w:sz w:val="20"/>
        </w:rPr>
        <w:t xml:space="preserve"> </w:t>
      </w:r>
      <w:r>
        <w:rPr>
          <w:sz w:val="20"/>
        </w:rPr>
        <w:t>»)</w:t>
      </w:r>
    </w:p>
    <w:p w14:paraId="7C74DBFC" w14:textId="77777777" w:rsidR="00C85073" w:rsidRDefault="00C85073">
      <w:pPr>
        <w:pStyle w:val="Paragraphedeliste"/>
        <w:numPr>
          <w:ilvl w:val="0"/>
          <w:numId w:val="3"/>
        </w:numPr>
        <w:tabs>
          <w:tab w:val="left" w:pos="1089"/>
          <w:tab w:val="left" w:pos="1090"/>
        </w:tabs>
        <w:spacing w:before="1"/>
        <w:ind w:right="546"/>
        <w:rPr>
          <w:sz w:val="20"/>
        </w:rPr>
      </w:pPr>
      <w:proofErr w:type="gramStart"/>
      <w:r>
        <w:rPr>
          <w:sz w:val="20"/>
        </w:rPr>
        <w:t>donne</w:t>
      </w:r>
      <w:proofErr w:type="gramEnd"/>
      <w:r>
        <w:rPr>
          <w:sz w:val="20"/>
        </w:rPr>
        <w:t xml:space="preserve"> une trame pour la Pièce Jointe que le Fournisseur doit joindre à l’envoi des Créances Réseau</w:t>
      </w:r>
      <w:r>
        <w:rPr>
          <w:spacing w:val="-2"/>
          <w:sz w:val="20"/>
        </w:rPr>
        <w:t xml:space="preserve"> </w:t>
      </w:r>
      <w:r>
        <w:rPr>
          <w:sz w:val="20"/>
        </w:rPr>
        <w:t>Irrécouvrables,</w:t>
      </w:r>
    </w:p>
    <w:p w14:paraId="2A2840D8" w14:textId="77777777" w:rsidR="00C85073" w:rsidRDefault="00C85073">
      <w:pPr>
        <w:pStyle w:val="Paragraphedeliste"/>
        <w:numPr>
          <w:ilvl w:val="0"/>
          <w:numId w:val="3"/>
        </w:numPr>
        <w:tabs>
          <w:tab w:val="left" w:pos="1089"/>
          <w:tab w:val="left" w:pos="1090"/>
        </w:tabs>
        <w:ind w:right="545"/>
        <w:rPr>
          <w:sz w:val="20"/>
        </w:rPr>
      </w:pPr>
      <w:proofErr w:type="gramStart"/>
      <w:r>
        <w:rPr>
          <w:sz w:val="20"/>
        </w:rPr>
        <w:t>permet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tracer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choix</w:t>
      </w:r>
      <w:r>
        <w:rPr>
          <w:spacing w:val="-8"/>
          <w:sz w:val="20"/>
        </w:rPr>
        <w:t xml:space="preserve"> </w:t>
      </w:r>
      <w:r>
        <w:rPr>
          <w:sz w:val="20"/>
        </w:rPr>
        <w:t>fait</w:t>
      </w:r>
      <w:r>
        <w:rPr>
          <w:spacing w:val="-9"/>
          <w:sz w:val="20"/>
        </w:rPr>
        <w:t xml:space="preserve"> </w:t>
      </w:r>
      <w:r>
        <w:rPr>
          <w:sz w:val="20"/>
        </w:rPr>
        <w:t>par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9"/>
          <w:sz w:val="20"/>
        </w:rPr>
        <w:t xml:space="preserve"> </w:t>
      </w:r>
      <w:r>
        <w:rPr>
          <w:sz w:val="20"/>
        </w:rPr>
        <w:t>Fournisseur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9"/>
          <w:sz w:val="20"/>
        </w:rPr>
        <w:t xml:space="preserve"> </w:t>
      </w:r>
      <w:r>
        <w:rPr>
          <w:sz w:val="20"/>
        </w:rPr>
        <w:t>matière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TVA</w:t>
      </w:r>
    </w:p>
    <w:p w14:paraId="654C6054" w14:textId="77777777" w:rsidR="00C85073" w:rsidRDefault="00C85073" w:rsidP="00A648A2">
      <w:pPr>
        <w:tabs>
          <w:tab w:val="left" w:pos="1089"/>
          <w:tab w:val="left" w:pos="1090"/>
        </w:tabs>
        <w:ind w:right="545"/>
        <w:rPr>
          <w:sz w:val="20"/>
        </w:rPr>
      </w:pPr>
    </w:p>
    <w:p w14:paraId="3E1869C1" w14:textId="77777777" w:rsidR="00C85073" w:rsidRPr="00A648A2" w:rsidRDefault="00C85073" w:rsidP="00A648A2">
      <w:pPr>
        <w:tabs>
          <w:tab w:val="left" w:pos="1089"/>
          <w:tab w:val="left" w:pos="1090"/>
        </w:tabs>
        <w:ind w:right="545"/>
        <w:rPr>
          <w:sz w:val="20"/>
        </w:rPr>
      </w:pPr>
    </w:p>
    <w:p w14:paraId="499DF8E4" w14:textId="77777777" w:rsidR="00C85073" w:rsidRDefault="00C85073">
      <w:pPr>
        <w:rPr>
          <w:sz w:val="20"/>
        </w:rPr>
        <w:sectPr w:rsidR="00C85073" w:rsidSect="00C85073">
          <w:footerReference w:type="default" r:id="rId8"/>
          <w:pgSz w:w="11910" w:h="17340"/>
          <w:pgMar w:top="1640" w:right="1020" w:bottom="280" w:left="1680" w:header="720" w:footer="720" w:gutter="0"/>
          <w:pgNumType w:start="1"/>
          <w:cols w:space="720"/>
        </w:sectPr>
      </w:pPr>
    </w:p>
    <w:p w14:paraId="4C620C42" w14:textId="77777777" w:rsidR="00C85073" w:rsidRDefault="00C85073">
      <w:pPr>
        <w:spacing w:before="70"/>
        <w:ind w:left="2850" w:right="2906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lastRenderedPageBreak/>
        <w:t>Annexe 6 – Mise en œuvre de l’article 7.1</w:t>
      </w:r>
    </w:p>
    <w:p w14:paraId="687D1A1D" w14:textId="77777777" w:rsidR="00C85073" w:rsidRDefault="00C85073" w:rsidP="00F02BE9">
      <w:pPr>
        <w:spacing w:before="20"/>
        <w:ind w:left="1560" w:right="1964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Contrat GRD-F </w:t>
      </w:r>
      <w:r w:rsidRPr="004D2399">
        <w:rPr>
          <w:rFonts w:ascii="Arial" w:hAnsi="Arial"/>
          <w:noProof/>
          <w:sz w:val="16"/>
        </w:rPr>
        <w:t>Régie d'Electricité d'Elbeuf</w:t>
      </w:r>
      <w:r>
        <w:rPr>
          <w:rFonts w:ascii="Arial" w:hAnsi="Arial"/>
          <w:sz w:val="16"/>
        </w:rPr>
        <w:t xml:space="preserve"> – Version du 01/05/2021</w:t>
      </w:r>
    </w:p>
    <w:p w14:paraId="225FB815" w14:textId="77777777" w:rsidR="00C85073" w:rsidRDefault="00C85073">
      <w:pPr>
        <w:pStyle w:val="Corpsdetexte"/>
        <w:spacing w:before="5"/>
        <w:rPr>
          <w:rFonts w:ascii="Arial"/>
          <w:sz w:val="19"/>
        </w:rPr>
      </w:pPr>
    </w:p>
    <w:p w14:paraId="4D25C689" w14:textId="77777777" w:rsidR="00C85073" w:rsidRDefault="00C85073">
      <w:pPr>
        <w:spacing w:before="59"/>
        <w:ind w:left="305"/>
        <w:rPr>
          <w:sz w:val="20"/>
        </w:rPr>
      </w:pPr>
      <w:r>
        <w:rPr>
          <w:sz w:val="20"/>
        </w:rPr>
        <w:t>FOURNISSEUR :</w:t>
      </w:r>
    </w:p>
    <w:p w14:paraId="3D3E457E" w14:textId="77777777" w:rsidR="00C85073" w:rsidRDefault="00C85073">
      <w:pPr>
        <w:pStyle w:val="Corpsdetexte"/>
        <w:rPr>
          <w:sz w:val="20"/>
        </w:rPr>
      </w:pPr>
    </w:p>
    <w:p w14:paraId="18FCD6CE" w14:textId="77777777" w:rsidR="00C85073" w:rsidRDefault="00C85073">
      <w:pPr>
        <w:pStyle w:val="Corpsdetexte"/>
        <w:rPr>
          <w:sz w:val="20"/>
        </w:rPr>
      </w:pPr>
    </w:p>
    <w:p w14:paraId="36C9631F" w14:textId="77777777" w:rsidR="00C85073" w:rsidRDefault="00C85073">
      <w:pPr>
        <w:pStyle w:val="Paragraphedeliste"/>
        <w:numPr>
          <w:ilvl w:val="0"/>
          <w:numId w:val="2"/>
        </w:numPr>
        <w:tabs>
          <w:tab w:val="left" w:pos="665"/>
          <w:tab w:val="left" w:pos="666"/>
        </w:tabs>
        <w:ind w:hanging="36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Période de transmission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:</w:t>
      </w:r>
    </w:p>
    <w:p w14:paraId="66EC5E46" w14:textId="77777777" w:rsidR="00C85073" w:rsidRDefault="00C85073">
      <w:pPr>
        <w:pStyle w:val="Corpsdetexte"/>
        <w:spacing w:before="1"/>
        <w:rPr>
          <w:sz w:val="20"/>
        </w:rPr>
      </w:pPr>
    </w:p>
    <w:p w14:paraId="14E97E3F" w14:textId="77777777" w:rsidR="00C85073" w:rsidRDefault="00C85073">
      <w:pPr>
        <w:ind w:left="305"/>
        <w:rPr>
          <w:sz w:val="20"/>
        </w:rPr>
      </w:pPr>
      <w:r>
        <w:rPr>
          <w:sz w:val="20"/>
        </w:rPr>
        <w:t>La période de transmission est le semestre civil.</w:t>
      </w:r>
    </w:p>
    <w:p w14:paraId="5C9CF00E" w14:textId="77777777" w:rsidR="00C85073" w:rsidRDefault="00C85073">
      <w:pPr>
        <w:pStyle w:val="Corpsdetexte"/>
        <w:rPr>
          <w:sz w:val="20"/>
        </w:rPr>
      </w:pPr>
    </w:p>
    <w:p w14:paraId="0BB239A2" w14:textId="77777777" w:rsidR="00C85073" w:rsidRDefault="00C85073">
      <w:pPr>
        <w:pStyle w:val="Corpsdetexte"/>
        <w:spacing w:before="8"/>
        <w:rPr>
          <w:sz w:val="17"/>
        </w:rPr>
      </w:pPr>
    </w:p>
    <w:p w14:paraId="4F59A895" w14:textId="77777777" w:rsidR="00C85073" w:rsidRDefault="00C85073">
      <w:pPr>
        <w:pStyle w:val="Paragraphedeliste"/>
        <w:numPr>
          <w:ilvl w:val="0"/>
          <w:numId w:val="2"/>
        </w:numPr>
        <w:tabs>
          <w:tab w:val="left" w:pos="665"/>
          <w:tab w:val="left" w:pos="666"/>
        </w:tabs>
        <w:ind w:hanging="361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Modèle de Pièce Jointe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:</w:t>
      </w:r>
    </w:p>
    <w:p w14:paraId="3DA546D4" w14:textId="77777777" w:rsidR="00C85073" w:rsidRDefault="00C85073">
      <w:pPr>
        <w:pStyle w:val="Corpsdetexte"/>
        <w:spacing w:before="11" w:after="1"/>
        <w:rPr>
          <w:sz w:val="19"/>
        </w:rPr>
      </w:pPr>
    </w:p>
    <w:sdt>
      <w:sdtPr>
        <w:rPr>
          <w:rFonts w:ascii="Arial" w:hAnsi="Arial"/>
          <w:sz w:val="18"/>
        </w:rPr>
        <w:id w:val="-883939847"/>
        <w:placeholder>
          <w:docPart w:val="DefaultPlaceholder_-1854013440"/>
        </w:placeholder>
      </w:sdtPr>
      <w:sdtEndPr>
        <w:rPr>
          <w:rFonts w:ascii="Times New Roman" w:hAnsi="Calibri"/>
          <w:sz w:val="16"/>
          <w:lang w:val="en-US"/>
        </w:rPr>
      </w:sdtEndPr>
      <w:sdtContent>
        <w:tbl>
          <w:tblPr>
            <w:tblStyle w:val="TableNormal"/>
            <w:tblW w:w="0" w:type="auto"/>
            <w:tblInd w:w="3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1E0" w:firstRow="1" w:lastRow="1" w:firstColumn="1" w:lastColumn="1" w:noHBand="0" w:noVBand="0"/>
          </w:tblPr>
          <w:tblGrid>
            <w:gridCol w:w="2105"/>
            <w:gridCol w:w="2966"/>
            <w:gridCol w:w="1698"/>
            <w:gridCol w:w="1701"/>
          </w:tblGrid>
          <w:tr w:rsidR="00C85073" w14:paraId="10EC1E73" w14:textId="77777777">
            <w:trPr>
              <w:trHeight w:val="827"/>
            </w:trPr>
            <w:tc>
              <w:tcPr>
                <w:tcW w:w="2105" w:type="dxa"/>
                <w:shd w:val="clear" w:color="auto" w:fill="D9D9D9"/>
              </w:tcPr>
              <w:p w14:paraId="089AFFAC" w14:textId="039426FF" w:rsidR="00C85073" w:rsidRDefault="00C85073">
                <w:pPr>
                  <w:pStyle w:val="TableParagraph"/>
                  <w:spacing w:line="237" w:lineRule="auto"/>
                  <w:ind w:left="107" w:right="236"/>
                  <w:rPr>
                    <w:rFonts w:ascii="Arial" w:hAnsi="Arial"/>
                    <w:sz w:val="12"/>
                  </w:rPr>
                </w:pPr>
                <w:r>
                  <w:rPr>
                    <w:rFonts w:ascii="Arial" w:hAnsi="Arial"/>
                    <w:sz w:val="18"/>
                  </w:rPr>
                  <w:t>Référence du PDL ou du regroupement de PDL</w:t>
                </w:r>
                <w:r>
                  <w:rPr>
                    <w:rFonts w:ascii="Arial" w:hAnsi="Arial"/>
                    <w:position w:val="6"/>
                    <w:sz w:val="12"/>
                  </w:rPr>
                  <w:t>1</w:t>
                </w:r>
              </w:p>
            </w:tc>
            <w:tc>
              <w:tcPr>
                <w:tcW w:w="2966" w:type="dxa"/>
                <w:shd w:val="clear" w:color="auto" w:fill="D9D9D9"/>
              </w:tcPr>
              <w:p w14:paraId="3D4F15FE" w14:textId="77777777" w:rsidR="00C85073" w:rsidRDefault="00C85073">
                <w:pPr>
                  <w:pStyle w:val="TableParagraph"/>
                  <w:ind w:left="108" w:right="333"/>
                  <w:jc w:val="both"/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Montant de la Créance Réseau Irrécouvrable associée au PDL ou au regroupement de PDL</w:t>
                </w:r>
              </w:p>
              <w:p w14:paraId="1E0B8712" w14:textId="77777777" w:rsidR="00C85073" w:rsidRDefault="00C85073">
                <w:pPr>
                  <w:pStyle w:val="TableParagraph"/>
                  <w:spacing w:line="188" w:lineRule="exact"/>
                  <w:ind w:left="108"/>
                  <w:jc w:val="both"/>
                  <w:rPr>
                    <w:rFonts w:ascii="Arial" w:hAnsi="Arial"/>
                    <w:sz w:val="12"/>
                  </w:rPr>
                </w:pPr>
                <w:r>
                  <w:rPr>
                    <w:rFonts w:ascii="Arial" w:hAnsi="Arial"/>
                    <w:sz w:val="18"/>
                  </w:rPr>
                  <w:t>(</w:t>
                </w:r>
                <w:proofErr w:type="gramStart"/>
                <w:r>
                  <w:rPr>
                    <w:rFonts w:ascii="Arial" w:hAnsi="Arial"/>
                    <w:sz w:val="18"/>
                  </w:rPr>
                  <w:t>en</w:t>
                </w:r>
                <w:proofErr w:type="gramEnd"/>
                <w:r>
                  <w:rPr>
                    <w:rFonts w:ascii="Arial" w:hAnsi="Arial"/>
                    <w:sz w:val="18"/>
                  </w:rPr>
                  <w:t xml:space="preserve"> €)</w:t>
                </w:r>
                <w:r>
                  <w:rPr>
                    <w:rFonts w:ascii="Arial" w:hAnsi="Arial"/>
                    <w:position w:val="6"/>
                    <w:sz w:val="12"/>
                  </w:rPr>
                  <w:t>2</w:t>
                </w:r>
              </w:p>
            </w:tc>
            <w:tc>
              <w:tcPr>
                <w:tcW w:w="1698" w:type="dxa"/>
                <w:shd w:val="clear" w:color="auto" w:fill="D9D9D9"/>
              </w:tcPr>
              <w:p w14:paraId="3B497031" w14:textId="77777777" w:rsidR="00C85073" w:rsidRDefault="00C85073">
                <w:pPr>
                  <w:pStyle w:val="TableParagraph"/>
                  <w:spacing w:line="242" w:lineRule="auto"/>
                  <w:ind w:left="108" w:right="389"/>
                  <w:rPr>
                    <w:rFonts w:ascii="Arial" w:hAnsi="Arial"/>
                    <w:sz w:val="13"/>
                  </w:rPr>
                </w:pPr>
                <w:r>
                  <w:rPr>
                    <w:rFonts w:ascii="Arial" w:hAnsi="Arial"/>
                    <w:sz w:val="18"/>
                  </w:rPr>
                  <w:t>Période de consommation concernée</w:t>
                </w:r>
                <w:r>
                  <w:rPr>
                    <w:rFonts w:ascii="Arial" w:hAnsi="Arial"/>
                    <w:position w:val="6"/>
                    <w:sz w:val="13"/>
                  </w:rPr>
                  <w:t>3</w:t>
                </w:r>
              </w:p>
            </w:tc>
            <w:tc>
              <w:tcPr>
                <w:tcW w:w="1701" w:type="dxa"/>
                <w:shd w:val="clear" w:color="auto" w:fill="D9D9D9"/>
              </w:tcPr>
              <w:p w14:paraId="0B61D98D" w14:textId="77777777" w:rsidR="00C85073" w:rsidRDefault="00C85073">
                <w:pPr>
                  <w:pStyle w:val="TableParagraph"/>
                  <w:ind w:left="110" w:right="147"/>
                  <w:rPr>
                    <w:rFonts w:ascii="Arial"/>
                    <w:sz w:val="18"/>
                  </w:rPr>
                </w:pPr>
                <w:r>
                  <w:rPr>
                    <w:rFonts w:ascii="Arial"/>
                    <w:sz w:val="18"/>
                  </w:rPr>
                  <w:t>Segment client : consommateur, non-professionnel</w:t>
                </w:r>
              </w:p>
              <w:p w14:paraId="43E3B038" w14:textId="77777777" w:rsidR="00C85073" w:rsidRDefault="00C85073">
                <w:pPr>
                  <w:pStyle w:val="TableParagraph"/>
                  <w:spacing w:line="187" w:lineRule="exact"/>
                  <w:ind w:left="110"/>
                  <w:rPr>
                    <w:rFonts w:ascii="Arial"/>
                    <w:sz w:val="18"/>
                  </w:rPr>
                </w:pPr>
                <w:proofErr w:type="gramStart"/>
                <w:r>
                  <w:rPr>
                    <w:rFonts w:ascii="Arial"/>
                    <w:sz w:val="18"/>
                  </w:rPr>
                  <w:t>et</w:t>
                </w:r>
                <w:proofErr w:type="gramEnd"/>
                <w:r>
                  <w:rPr>
                    <w:rFonts w:ascii="Arial"/>
                    <w:sz w:val="18"/>
                  </w:rPr>
                  <w:t xml:space="preserve"> professionnel</w:t>
                </w:r>
              </w:p>
            </w:tc>
          </w:tr>
          <w:tr w:rsidR="00C85073" w14:paraId="68FC5829" w14:textId="77777777">
            <w:trPr>
              <w:trHeight w:val="244"/>
            </w:trPr>
            <w:tc>
              <w:tcPr>
                <w:tcW w:w="2105" w:type="dxa"/>
              </w:tcPr>
              <w:p w14:paraId="4D58EDE7" w14:textId="77777777" w:rsidR="00C85073" w:rsidRDefault="00C85073">
                <w:pPr>
                  <w:pStyle w:val="TableParagraph"/>
                  <w:spacing w:before="1" w:line="22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PDL n° xxx</w:t>
                </w:r>
              </w:p>
            </w:tc>
            <w:tc>
              <w:tcPr>
                <w:tcW w:w="2966" w:type="dxa"/>
              </w:tcPr>
              <w:p w14:paraId="67ABA5BC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698" w:type="dxa"/>
              </w:tcPr>
              <w:p w14:paraId="3F020FF0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701" w:type="dxa"/>
              </w:tcPr>
              <w:p w14:paraId="4D2A4094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</w:tr>
          <w:tr w:rsidR="00C85073" w14:paraId="5A21D5D3" w14:textId="77777777">
            <w:trPr>
              <w:trHeight w:val="244"/>
            </w:trPr>
            <w:tc>
              <w:tcPr>
                <w:tcW w:w="2105" w:type="dxa"/>
              </w:tcPr>
              <w:p w14:paraId="33CF1A67" w14:textId="77777777" w:rsidR="00C85073" w:rsidRDefault="00C85073">
                <w:pPr>
                  <w:pStyle w:val="TableParagraph"/>
                  <w:spacing w:before="1" w:line="22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PDL n° xxx</w:t>
                </w:r>
              </w:p>
            </w:tc>
            <w:tc>
              <w:tcPr>
                <w:tcW w:w="2966" w:type="dxa"/>
              </w:tcPr>
              <w:p w14:paraId="2B349E69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698" w:type="dxa"/>
              </w:tcPr>
              <w:p w14:paraId="1CADF671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701" w:type="dxa"/>
              </w:tcPr>
              <w:p w14:paraId="58D40DCA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</w:tr>
          <w:tr w:rsidR="00C85073" w14:paraId="0C70A0C6" w14:textId="77777777">
            <w:trPr>
              <w:trHeight w:val="242"/>
            </w:trPr>
            <w:tc>
              <w:tcPr>
                <w:tcW w:w="2105" w:type="dxa"/>
              </w:tcPr>
              <w:p w14:paraId="5F14D884" w14:textId="77777777" w:rsidR="00C85073" w:rsidRDefault="00C85073">
                <w:pPr>
                  <w:pStyle w:val="TableParagraph"/>
                  <w:spacing w:line="222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PDL n° xxx</w:t>
                </w:r>
              </w:p>
            </w:tc>
            <w:tc>
              <w:tcPr>
                <w:tcW w:w="2966" w:type="dxa"/>
              </w:tcPr>
              <w:p w14:paraId="3DC32A21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698" w:type="dxa"/>
              </w:tcPr>
              <w:p w14:paraId="0333F63B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701" w:type="dxa"/>
              </w:tcPr>
              <w:p w14:paraId="7B79D86C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</w:tr>
          <w:tr w:rsidR="00C85073" w14:paraId="28B312AC" w14:textId="77777777">
            <w:trPr>
              <w:trHeight w:val="245"/>
            </w:trPr>
            <w:tc>
              <w:tcPr>
                <w:tcW w:w="2105" w:type="dxa"/>
              </w:tcPr>
              <w:p w14:paraId="57D487F2" w14:textId="77777777" w:rsidR="00C85073" w:rsidRDefault="00C85073">
                <w:pPr>
                  <w:pStyle w:val="TableParagraph"/>
                  <w:spacing w:before="2" w:line="22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PDL n° xxx</w:t>
                </w:r>
              </w:p>
            </w:tc>
            <w:tc>
              <w:tcPr>
                <w:tcW w:w="2966" w:type="dxa"/>
              </w:tcPr>
              <w:p w14:paraId="0F703BB7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698" w:type="dxa"/>
              </w:tcPr>
              <w:p w14:paraId="5FAF8510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  <w:tc>
              <w:tcPr>
                <w:tcW w:w="1701" w:type="dxa"/>
              </w:tcPr>
              <w:p w14:paraId="6B90AFBF" w14:textId="77777777" w:rsidR="00C85073" w:rsidRDefault="00C85073">
                <w:pPr>
                  <w:pStyle w:val="TableParagraph"/>
                  <w:rPr>
                    <w:rFonts w:ascii="Times New Roman"/>
                    <w:sz w:val="16"/>
                  </w:rPr>
                </w:pPr>
              </w:p>
            </w:tc>
          </w:tr>
          <w:tr w:rsidR="00C85073" w:rsidRPr="00CE630C" w14:paraId="0ABEEBB5" w14:textId="77777777">
            <w:trPr>
              <w:trHeight w:val="1221"/>
            </w:trPr>
            <w:tc>
              <w:tcPr>
                <w:tcW w:w="2105" w:type="dxa"/>
              </w:tcPr>
              <w:p w14:paraId="78E013B1" w14:textId="77777777" w:rsidR="00C85073" w:rsidRDefault="00C85073">
                <w:pPr>
                  <w:pStyle w:val="TableParagraph"/>
                  <w:spacing w:before="1"/>
                  <w:ind w:left="107" w:right="164"/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Regroupement de</w:t>
                </w:r>
                <w:r>
                  <w:rPr>
                    <w:spacing w:val="-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PDL pour client multisites : PDL n°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xxx</w:t>
                </w:r>
              </w:p>
              <w:p w14:paraId="47606AE1" w14:textId="77777777" w:rsidR="00C85073" w:rsidRPr="00E31026" w:rsidRDefault="00C85073">
                <w:pPr>
                  <w:pStyle w:val="TableParagraph"/>
                  <w:spacing w:line="244" w:lineRule="exact"/>
                  <w:ind w:left="107"/>
                  <w:jc w:val="both"/>
                  <w:rPr>
                    <w:sz w:val="20"/>
                    <w:lang w:val="en-GB"/>
                  </w:rPr>
                </w:pPr>
                <w:r w:rsidRPr="00E31026">
                  <w:rPr>
                    <w:sz w:val="20"/>
                    <w:lang w:val="en-GB"/>
                  </w:rPr>
                  <w:t>PDL n°</w:t>
                </w:r>
                <w:r w:rsidRPr="00E31026">
                  <w:rPr>
                    <w:spacing w:val="-7"/>
                    <w:sz w:val="20"/>
                    <w:lang w:val="en-GB"/>
                  </w:rPr>
                  <w:t xml:space="preserve"> </w:t>
                </w:r>
                <w:r w:rsidRPr="00E31026">
                  <w:rPr>
                    <w:sz w:val="20"/>
                    <w:lang w:val="en-GB"/>
                  </w:rPr>
                  <w:t>xxx</w:t>
                </w:r>
              </w:p>
              <w:p w14:paraId="58F1240F" w14:textId="77777777" w:rsidR="00C85073" w:rsidRPr="00E31026" w:rsidRDefault="00C85073">
                <w:pPr>
                  <w:pStyle w:val="TableParagraph"/>
                  <w:spacing w:before="1" w:line="223" w:lineRule="exact"/>
                  <w:ind w:left="107"/>
                  <w:jc w:val="both"/>
                  <w:rPr>
                    <w:sz w:val="20"/>
                    <w:lang w:val="en-GB"/>
                  </w:rPr>
                </w:pPr>
                <w:r w:rsidRPr="00E31026">
                  <w:rPr>
                    <w:sz w:val="20"/>
                    <w:lang w:val="en-GB"/>
                  </w:rPr>
                  <w:t>PDL n°</w:t>
                </w:r>
                <w:r w:rsidRPr="00E31026">
                  <w:rPr>
                    <w:spacing w:val="-7"/>
                    <w:sz w:val="20"/>
                    <w:lang w:val="en-GB"/>
                  </w:rPr>
                  <w:t xml:space="preserve"> </w:t>
                </w:r>
                <w:r w:rsidRPr="00E31026">
                  <w:rPr>
                    <w:sz w:val="20"/>
                    <w:lang w:val="en-GB"/>
                  </w:rPr>
                  <w:t>xxx</w:t>
                </w:r>
              </w:p>
            </w:tc>
            <w:tc>
              <w:tcPr>
                <w:tcW w:w="2966" w:type="dxa"/>
              </w:tcPr>
              <w:p w14:paraId="360149FD" w14:textId="77777777" w:rsidR="00C85073" w:rsidRPr="00E31026" w:rsidRDefault="00C85073">
                <w:pPr>
                  <w:pStyle w:val="TableParagraph"/>
                  <w:rPr>
                    <w:rFonts w:ascii="Times New Roman"/>
                    <w:sz w:val="18"/>
                    <w:lang w:val="en-GB"/>
                  </w:rPr>
                </w:pPr>
              </w:p>
            </w:tc>
            <w:tc>
              <w:tcPr>
                <w:tcW w:w="1698" w:type="dxa"/>
              </w:tcPr>
              <w:p w14:paraId="6A803005" w14:textId="77777777" w:rsidR="00C85073" w:rsidRPr="00E31026" w:rsidRDefault="00C85073">
                <w:pPr>
                  <w:pStyle w:val="TableParagraph"/>
                  <w:rPr>
                    <w:rFonts w:ascii="Times New Roman"/>
                    <w:sz w:val="18"/>
                    <w:lang w:val="en-GB"/>
                  </w:rPr>
                </w:pPr>
              </w:p>
            </w:tc>
            <w:tc>
              <w:tcPr>
                <w:tcW w:w="1701" w:type="dxa"/>
              </w:tcPr>
              <w:p w14:paraId="52BF2A19" w14:textId="77777777" w:rsidR="00C85073" w:rsidRPr="00E31026" w:rsidRDefault="00C85073">
                <w:pPr>
                  <w:pStyle w:val="TableParagraph"/>
                  <w:rPr>
                    <w:rFonts w:ascii="Times New Roman"/>
                    <w:sz w:val="18"/>
                    <w:lang w:val="en-GB"/>
                  </w:rPr>
                </w:pPr>
              </w:p>
            </w:tc>
          </w:tr>
          <w:tr w:rsidR="00C85073" w14:paraId="0AB47C89" w14:textId="77777777">
            <w:trPr>
              <w:trHeight w:val="489"/>
            </w:trPr>
            <w:tc>
              <w:tcPr>
                <w:tcW w:w="2105" w:type="dxa"/>
              </w:tcPr>
              <w:p w14:paraId="59654470" w14:textId="77777777" w:rsidR="00C85073" w:rsidRDefault="00C85073">
                <w:pPr>
                  <w:pStyle w:val="TableParagraph"/>
                  <w:spacing w:line="240" w:lineRule="atLeast"/>
                  <w:ind w:left="107" w:right="167"/>
                  <w:rPr>
                    <w:sz w:val="20"/>
                  </w:rPr>
                </w:pPr>
                <w:r>
                  <w:rPr>
                    <w:sz w:val="20"/>
                  </w:rPr>
                  <w:t>Somme des Créances Réseau Irrécouvrables</w:t>
                </w:r>
              </w:p>
            </w:tc>
            <w:tc>
              <w:tcPr>
                <w:tcW w:w="2966" w:type="dxa"/>
              </w:tcPr>
              <w:p w14:paraId="1CFF53AF" w14:textId="77777777" w:rsidR="00C85073" w:rsidRDefault="00C85073">
                <w:pPr>
                  <w:pStyle w:val="TableParagraph"/>
                  <w:spacing w:before="123"/>
                  <w:ind w:left="108"/>
                  <w:rPr>
                    <w:sz w:val="20"/>
                  </w:rPr>
                </w:pPr>
                <w:r>
                  <w:rPr>
                    <w:sz w:val="20"/>
                  </w:rPr>
                  <w:t>TOTAL(a)</w:t>
                </w:r>
              </w:p>
            </w:tc>
            <w:tc>
              <w:tcPr>
                <w:tcW w:w="1698" w:type="dxa"/>
              </w:tcPr>
              <w:p w14:paraId="0A3A0FA2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  <w:tc>
              <w:tcPr>
                <w:tcW w:w="1701" w:type="dxa"/>
              </w:tcPr>
              <w:p w14:paraId="70767006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</w:tr>
          <w:tr w:rsidR="00C85073" w14:paraId="2632376F" w14:textId="77777777">
            <w:trPr>
              <w:trHeight w:val="976"/>
            </w:trPr>
            <w:tc>
              <w:tcPr>
                <w:tcW w:w="2105" w:type="dxa"/>
              </w:tcPr>
              <w:p w14:paraId="491A4C0A" w14:textId="77777777" w:rsidR="00C85073" w:rsidRDefault="00C85073">
                <w:pPr>
                  <w:pStyle w:val="TableParagraph"/>
                  <w:spacing w:before="1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 xml:space="preserve">Rentrées sur </w:t>
                </w:r>
                <w:r>
                  <w:rPr>
                    <w:spacing w:val="-3"/>
                    <w:sz w:val="20"/>
                  </w:rPr>
                  <w:t xml:space="preserve">créances </w:t>
                </w:r>
                <w:r>
                  <w:rPr>
                    <w:sz w:val="20"/>
                  </w:rPr>
                  <w:t>amorties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:</w:t>
                </w:r>
              </w:p>
              <w:p w14:paraId="10E40549" w14:textId="77777777" w:rsidR="00C85073" w:rsidRDefault="00C85073">
                <w:pPr>
                  <w:pStyle w:val="TableParagraph"/>
                  <w:spacing w:line="24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PDL n°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xxx</w:t>
                </w:r>
              </w:p>
              <w:p w14:paraId="16AB7958" w14:textId="77777777" w:rsidR="00C85073" w:rsidRDefault="00C85073">
                <w:pPr>
                  <w:pStyle w:val="TableParagraph"/>
                  <w:spacing w:before="1" w:line="22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PDL n°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xxx</w:t>
                </w:r>
              </w:p>
            </w:tc>
            <w:tc>
              <w:tcPr>
                <w:tcW w:w="2966" w:type="dxa"/>
              </w:tcPr>
              <w:p w14:paraId="4B5AE4CF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  <w:tc>
              <w:tcPr>
                <w:tcW w:w="1698" w:type="dxa"/>
              </w:tcPr>
              <w:p w14:paraId="7908A9BE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  <w:tc>
              <w:tcPr>
                <w:tcW w:w="1701" w:type="dxa"/>
              </w:tcPr>
              <w:p w14:paraId="5C64E857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</w:tr>
          <w:tr w:rsidR="00C85073" w14:paraId="72CD9921" w14:textId="77777777">
            <w:trPr>
              <w:trHeight w:val="486"/>
            </w:trPr>
            <w:tc>
              <w:tcPr>
                <w:tcW w:w="2105" w:type="dxa"/>
              </w:tcPr>
              <w:p w14:paraId="6F857164" w14:textId="77777777" w:rsidR="00C85073" w:rsidRDefault="00C85073">
                <w:pPr>
                  <w:pStyle w:val="TableParagraph"/>
                  <w:spacing w:before="1" w:line="24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Somme des rentrées</w:t>
                </w:r>
              </w:p>
              <w:p w14:paraId="6D5C01E3" w14:textId="77777777" w:rsidR="00C85073" w:rsidRDefault="00C85073">
                <w:pPr>
                  <w:pStyle w:val="TableParagraph"/>
                  <w:spacing w:line="222" w:lineRule="exact"/>
                  <w:ind w:left="107"/>
                  <w:rPr>
                    <w:sz w:val="20"/>
                  </w:rPr>
                </w:pPr>
                <w:proofErr w:type="gramStart"/>
                <w:r>
                  <w:rPr>
                    <w:sz w:val="20"/>
                  </w:rPr>
                  <w:t>sur</w:t>
                </w:r>
                <w:proofErr w:type="gramEnd"/>
                <w:r>
                  <w:rPr>
                    <w:sz w:val="20"/>
                  </w:rPr>
                  <w:t xml:space="preserve"> créances amorties</w:t>
                </w:r>
              </w:p>
            </w:tc>
            <w:tc>
              <w:tcPr>
                <w:tcW w:w="2966" w:type="dxa"/>
              </w:tcPr>
              <w:p w14:paraId="7DC14557" w14:textId="77777777" w:rsidR="00C85073" w:rsidRDefault="00C85073">
                <w:pPr>
                  <w:pStyle w:val="TableParagraph"/>
                  <w:spacing w:before="123"/>
                  <w:ind w:left="108"/>
                  <w:rPr>
                    <w:sz w:val="20"/>
                  </w:rPr>
                </w:pPr>
                <w:r>
                  <w:rPr>
                    <w:sz w:val="20"/>
                  </w:rPr>
                  <w:t>TOTAL(b)</w:t>
                </w:r>
              </w:p>
            </w:tc>
            <w:tc>
              <w:tcPr>
                <w:tcW w:w="1698" w:type="dxa"/>
              </w:tcPr>
              <w:p w14:paraId="7A8E1FC0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  <w:tc>
              <w:tcPr>
                <w:tcW w:w="1701" w:type="dxa"/>
              </w:tcPr>
              <w:p w14:paraId="39650069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</w:tr>
          <w:tr w:rsidR="00C85073" w14:paraId="3FBF4B4A" w14:textId="77777777">
            <w:trPr>
              <w:trHeight w:val="1221"/>
            </w:trPr>
            <w:tc>
              <w:tcPr>
                <w:tcW w:w="2105" w:type="dxa"/>
              </w:tcPr>
              <w:p w14:paraId="547870C9" w14:textId="77777777" w:rsidR="00C85073" w:rsidRDefault="00C85073">
                <w:pPr>
                  <w:pStyle w:val="TableParagraph"/>
                  <w:spacing w:before="1"/>
                  <w:ind w:left="107" w:right="147"/>
                  <w:rPr>
                    <w:sz w:val="20"/>
                  </w:rPr>
                </w:pPr>
                <w:r>
                  <w:rPr>
                    <w:sz w:val="20"/>
                  </w:rPr>
                  <w:t>Intérêts sur Avance de Trésorerie dus au titre de la somme des Créances Réseau</w:t>
                </w:r>
              </w:p>
              <w:p w14:paraId="2B8BBB25" w14:textId="77777777" w:rsidR="00C85073" w:rsidRDefault="00C85073">
                <w:pPr>
                  <w:pStyle w:val="TableParagraph"/>
                  <w:spacing w:before="1" w:line="22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Irrécouvrables</w:t>
                </w:r>
              </w:p>
            </w:tc>
            <w:tc>
              <w:tcPr>
                <w:tcW w:w="2966" w:type="dxa"/>
              </w:tcPr>
              <w:p w14:paraId="2A97320A" w14:textId="77777777" w:rsidR="00C85073" w:rsidRDefault="00C85073">
                <w:pPr>
                  <w:pStyle w:val="TableParagraph"/>
                  <w:rPr>
                    <w:sz w:val="20"/>
                  </w:rPr>
                </w:pPr>
              </w:p>
              <w:p w14:paraId="05677AEF" w14:textId="77777777" w:rsidR="00C85073" w:rsidRDefault="00C85073">
                <w:pPr>
                  <w:pStyle w:val="TableParagraph"/>
                  <w:spacing w:before="3"/>
                  <w:rPr>
                    <w:sz w:val="20"/>
                  </w:rPr>
                </w:pPr>
              </w:p>
              <w:p w14:paraId="6DE3D95F" w14:textId="77777777" w:rsidR="00C85073" w:rsidRDefault="00C85073">
                <w:pPr>
                  <w:pStyle w:val="TableParagraph"/>
                  <w:ind w:left="108"/>
                  <w:rPr>
                    <w:sz w:val="20"/>
                  </w:rPr>
                </w:pPr>
                <w:r>
                  <w:rPr>
                    <w:sz w:val="20"/>
                  </w:rPr>
                  <w:t>TOTAL(c)</w:t>
                </w:r>
              </w:p>
            </w:tc>
            <w:tc>
              <w:tcPr>
                <w:tcW w:w="1698" w:type="dxa"/>
              </w:tcPr>
              <w:p w14:paraId="5916F457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  <w:tc>
              <w:tcPr>
                <w:tcW w:w="1701" w:type="dxa"/>
              </w:tcPr>
              <w:p w14:paraId="60A89DEC" w14:textId="77777777" w:rsidR="00C85073" w:rsidRDefault="00C85073">
                <w:pPr>
                  <w:pStyle w:val="TableParagraph"/>
                  <w:rPr>
                    <w:rFonts w:ascii="Times New Roman"/>
                    <w:sz w:val="18"/>
                  </w:rPr>
                </w:pPr>
              </w:p>
            </w:tc>
          </w:tr>
          <w:tr w:rsidR="00C85073" w:rsidRPr="00E31026" w14:paraId="7CE010DD" w14:textId="77777777">
            <w:trPr>
              <w:trHeight w:val="244"/>
            </w:trPr>
            <w:tc>
              <w:tcPr>
                <w:tcW w:w="2105" w:type="dxa"/>
              </w:tcPr>
              <w:p w14:paraId="28B82695" w14:textId="77777777" w:rsidR="00C85073" w:rsidRDefault="00C85073">
                <w:pPr>
                  <w:pStyle w:val="TableParagraph"/>
                  <w:spacing w:before="1" w:line="223" w:lineRule="exact"/>
                  <w:ind w:left="107"/>
                  <w:rPr>
                    <w:sz w:val="20"/>
                  </w:rPr>
                </w:pPr>
                <w:r>
                  <w:rPr>
                    <w:sz w:val="20"/>
                  </w:rPr>
                  <w:t>TOTAL</w:t>
                </w:r>
              </w:p>
            </w:tc>
            <w:tc>
              <w:tcPr>
                <w:tcW w:w="2966" w:type="dxa"/>
              </w:tcPr>
              <w:p w14:paraId="3BACEDA8" w14:textId="77777777" w:rsidR="00C85073" w:rsidRPr="00A648A2" w:rsidRDefault="00C85073">
                <w:pPr>
                  <w:pStyle w:val="TableParagraph"/>
                  <w:spacing w:before="1" w:line="223" w:lineRule="exact"/>
                  <w:ind w:left="108"/>
                  <w:rPr>
                    <w:sz w:val="20"/>
                    <w:lang w:val="en-US"/>
                  </w:rPr>
                </w:pPr>
                <w:r w:rsidRPr="00A648A2">
                  <w:rPr>
                    <w:sz w:val="20"/>
                    <w:lang w:val="en-US"/>
                  </w:rPr>
                  <w:t>TOTAL(a) - TOTAL(b) + TOTAL(c)</w:t>
                </w:r>
              </w:p>
            </w:tc>
            <w:tc>
              <w:tcPr>
                <w:tcW w:w="1698" w:type="dxa"/>
              </w:tcPr>
              <w:p w14:paraId="74262377" w14:textId="77777777" w:rsidR="00C85073" w:rsidRPr="00A648A2" w:rsidRDefault="00C85073">
                <w:pPr>
                  <w:pStyle w:val="TableParagraph"/>
                  <w:rPr>
                    <w:rFonts w:ascii="Times New Roman"/>
                    <w:sz w:val="16"/>
                    <w:lang w:val="en-US"/>
                  </w:rPr>
                </w:pPr>
              </w:p>
            </w:tc>
            <w:tc>
              <w:tcPr>
                <w:tcW w:w="1701" w:type="dxa"/>
              </w:tcPr>
              <w:p w14:paraId="762B7979" w14:textId="29A6EB0D" w:rsidR="00C85073" w:rsidRPr="00A648A2" w:rsidRDefault="00CE630C">
                <w:pPr>
                  <w:pStyle w:val="TableParagraph"/>
                  <w:rPr>
                    <w:rFonts w:ascii="Times New Roman"/>
                    <w:sz w:val="16"/>
                    <w:lang w:val="en-US"/>
                  </w:rPr>
                </w:pPr>
              </w:p>
            </w:tc>
          </w:tr>
        </w:tbl>
      </w:sdtContent>
    </w:sdt>
    <w:p w14:paraId="3AF3DC81" w14:textId="77777777" w:rsidR="00C85073" w:rsidRPr="00A648A2" w:rsidRDefault="00C85073">
      <w:pPr>
        <w:pStyle w:val="Corpsdetexte"/>
        <w:rPr>
          <w:sz w:val="20"/>
          <w:lang w:val="en-US"/>
        </w:rPr>
      </w:pPr>
    </w:p>
    <w:p w14:paraId="385F2232" w14:textId="77777777" w:rsidR="00C85073" w:rsidRPr="00A648A2" w:rsidRDefault="00C85073">
      <w:pPr>
        <w:pStyle w:val="Corpsdetexte"/>
        <w:rPr>
          <w:sz w:val="20"/>
          <w:lang w:val="en-US"/>
        </w:rPr>
      </w:pPr>
    </w:p>
    <w:p w14:paraId="34AFB022" w14:textId="77777777" w:rsidR="00C85073" w:rsidRPr="00A648A2" w:rsidRDefault="00C85073">
      <w:pPr>
        <w:pStyle w:val="Corpsdetexte"/>
        <w:spacing w:before="1"/>
        <w:rPr>
          <w:sz w:val="20"/>
          <w:lang w:val="en-US"/>
        </w:rPr>
      </w:pPr>
    </w:p>
    <w:p w14:paraId="5304C544" w14:textId="77777777" w:rsidR="00C85073" w:rsidRDefault="00C85073">
      <w:pPr>
        <w:pStyle w:val="Paragraphedeliste"/>
        <w:numPr>
          <w:ilvl w:val="0"/>
          <w:numId w:val="2"/>
        </w:numPr>
        <w:tabs>
          <w:tab w:val="left" w:pos="666"/>
        </w:tabs>
        <w:ind w:hanging="361"/>
        <w:rPr>
          <w:sz w:val="20"/>
        </w:rPr>
      </w:pPr>
      <w:r>
        <w:rPr>
          <w:rFonts w:ascii="Calibri" w:hAnsi="Calibri"/>
          <w:sz w:val="20"/>
        </w:rPr>
        <w:t>Choix concernant l’avoir :</w:t>
      </w:r>
    </w:p>
    <w:p w14:paraId="7910B564" w14:textId="77777777" w:rsidR="00C85073" w:rsidRDefault="00C85073">
      <w:pPr>
        <w:pStyle w:val="Corpsdetexte"/>
        <w:spacing w:before="11"/>
      </w:pPr>
    </w:p>
    <w:p w14:paraId="1C134A17" w14:textId="2299E8A0" w:rsidR="00E31026" w:rsidRDefault="00CE630C" w:rsidP="00E31026">
      <w:pPr>
        <w:tabs>
          <w:tab w:val="left" w:pos="1738"/>
        </w:tabs>
        <w:ind w:left="1378"/>
        <w:rPr>
          <w:sz w:val="20"/>
        </w:rPr>
      </w:pPr>
      <w:sdt>
        <w:sdtPr>
          <w:rPr>
            <w:sz w:val="20"/>
          </w:rPr>
          <w:id w:val="583275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D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E31026">
        <w:rPr>
          <w:sz w:val="20"/>
        </w:rPr>
        <w:tab/>
      </w:r>
      <w:r w:rsidR="00C85073" w:rsidRPr="00E31026">
        <w:rPr>
          <w:sz w:val="20"/>
        </w:rPr>
        <w:t>Avoir portant</w:t>
      </w:r>
      <w:r w:rsidR="00C85073" w:rsidRPr="00E31026">
        <w:rPr>
          <w:spacing w:val="-1"/>
          <w:sz w:val="20"/>
        </w:rPr>
        <w:t xml:space="preserve"> </w:t>
      </w:r>
      <w:r w:rsidR="00C85073" w:rsidRPr="00E31026">
        <w:rPr>
          <w:sz w:val="20"/>
        </w:rPr>
        <w:t>TVA</w:t>
      </w:r>
    </w:p>
    <w:p w14:paraId="074E005E" w14:textId="6B18BBFA" w:rsidR="00C85073" w:rsidRPr="00E31026" w:rsidRDefault="00CE630C" w:rsidP="00E31026">
      <w:pPr>
        <w:tabs>
          <w:tab w:val="left" w:pos="1738"/>
        </w:tabs>
        <w:ind w:left="1378"/>
        <w:rPr>
          <w:sz w:val="20"/>
        </w:rPr>
      </w:pPr>
      <w:sdt>
        <w:sdtPr>
          <w:rPr>
            <w:sz w:val="20"/>
          </w:rPr>
          <w:id w:val="-1651355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5D47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E31026">
        <w:rPr>
          <w:sz w:val="20"/>
        </w:rPr>
        <w:tab/>
      </w:r>
      <w:r w:rsidR="00C85073" w:rsidRPr="00E31026">
        <w:rPr>
          <w:sz w:val="20"/>
        </w:rPr>
        <w:t>Avoir sans TVA « net de taxe</w:t>
      </w:r>
      <w:r w:rsidR="00C85073" w:rsidRPr="00E31026">
        <w:rPr>
          <w:spacing w:val="-4"/>
          <w:sz w:val="20"/>
        </w:rPr>
        <w:t xml:space="preserve"> </w:t>
      </w:r>
      <w:r w:rsidR="00C85073" w:rsidRPr="00E31026">
        <w:rPr>
          <w:sz w:val="20"/>
        </w:rPr>
        <w:t>»</w:t>
      </w:r>
    </w:p>
    <w:p w14:paraId="5670D324" w14:textId="77777777" w:rsidR="00C85073" w:rsidRDefault="00C85073">
      <w:pPr>
        <w:pStyle w:val="Corpsdetexte"/>
        <w:rPr>
          <w:sz w:val="20"/>
        </w:rPr>
      </w:pPr>
    </w:p>
    <w:p w14:paraId="4160E05F" w14:textId="77777777" w:rsidR="00C85073" w:rsidRDefault="00C85073">
      <w:pPr>
        <w:pStyle w:val="Corpsdetexte"/>
        <w:rPr>
          <w:sz w:val="20"/>
        </w:rPr>
      </w:pPr>
    </w:p>
    <w:p w14:paraId="3C8C839D" w14:textId="77777777" w:rsidR="00C85073" w:rsidRDefault="00C85073">
      <w:pPr>
        <w:pStyle w:val="Corpsdetexte"/>
        <w:spacing w:before="6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8E8B0D" wp14:editId="49796F14">
                <wp:simplePos x="0" y="0"/>
                <wp:positionH relativeFrom="page">
                  <wp:posOffset>1260475</wp:posOffset>
                </wp:positionH>
                <wp:positionV relativeFrom="paragraph">
                  <wp:posOffset>137160</wp:posOffset>
                </wp:positionV>
                <wp:extent cx="18288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CF930" id="Rectangle 2" o:spid="_x0000_s1026" style="position:absolute;margin-left:99.25pt;margin-top:10.8pt;width:2in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75A1F579" w14:textId="77777777" w:rsidR="00C85073" w:rsidRDefault="00C85073">
      <w:pPr>
        <w:pStyle w:val="Corpsdetexte"/>
        <w:spacing w:before="55"/>
        <w:ind w:left="305"/>
        <w:jc w:val="both"/>
      </w:pPr>
      <w:r>
        <w:rPr>
          <w:rFonts w:ascii="Arial" w:hAnsi="Arial"/>
          <w:position w:val="6"/>
          <w:sz w:val="12"/>
        </w:rPr>
        <w:t xml:space="preserve">1 </w:t>
      </w:r>
      <w:r>
        <w:t>Préciser pour chaque PDL le segment de client concerné : consommateur, non-professionnel et professionnel.</w:t>
      </w:r>
    </w:p>
    <w:p w14:paraId="6153222F" w14:textId="77777777" w:rsidR="00C85073" w:rsidRDefault="00C85073">
      <w:pPr>
        <w:pStyle w:val="Corpsdetexte"/>
        <w:spacing w:before="59"/>
        <w:ind w:left="305" w:right="321"/>
        <w:jc w:val="both"/>
      </w:pPr>
      <w:r>
        <w:rPr>
          <w:position w:val="5"/>
          <w:sz w:val="12"/>
        </w:rPr>
        <w:t xml:space="preserve">2 </w:t>
      </w:r>
      <w:r>
        <w:t>Montant correspondant à l’utilisation du RPD et aux prestations fournies par le GRD au titre du Catalogue des prestations</w:t>
      </w:r>
      <w:r>
        <w:rPr>
          <w:spacing w:val="-4"/>
        </w:rPr>
        <w:t xml:space="preserve"> </w:t>
      </w:r>
      <w:r>
        <w:t>enregistré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irrécouvrable</w:t>
      </w:r>
      <w:r>
        <w:rPr>
          <w:spacing w:val="-3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comptabilité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Fournisseur,</w:t>
      </w:r>
      <w:r>
        <w:rPr>
          <w:spacing w:val="-6"/>
        </w:rPr>
        <w:t xml:space="preserve"> </w:t>
      </w:r>
      <w:r>
        <w:t>conformément</w:t>
      </w:r>
      <w:r>
        <w:rPr>
          <w:spacing w:val="-5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pratiques</w:t>
      </w:r>
      <w:r>
        <w:rPr>
          <w:spacing w:val="-7"/>
        </w:rPr>
        <w:t xml:space="preserve"> </w:t>
      </w:r>
      <w:r>
        <w:t>fiscales et comptables opposables à l'administration fiscale et consistant à en démontrer le caractère irrécouvrable, notamment par la preuve de poursuites restées infructueuses, l'émission d'un certificat d'irrécouvrabilité par un tiers assurant les diligences de recouvrement,</w:t>
      </w:r>
      <w:r>
        <w:rPr>
          <w:spacing w:val="-6"/>
        </w:rPr>
        <w:t xml:space="preserve"> </w:t>
      </w:r>
      <w:r>
        <w:t>etc.</w:t>
      </w:r>
    </w:p>
    <w:p w14:paraId="4D534F66" w14:textId="77777777" w:rsidR="00C85073" w:rsidRDefault="00C85073">
      <w:pPr>
        <w:pStyle w:val="Corpsdetexte"/>
        <w:spacing w:before="64"/>
        <w:ind w:left="305"/>
        <w:jc w:val="both"/>
      </w:pPr>
      <w:r>
        <w:rPr>
          <w:rFonts w:ascii="Arial" w:hAnsi="Arial"/>
          <w:position w:val="6"/>
          <w:sz w:val="13"/>
        </w:rPr>
        <w:t xml:space="preserve">3 </w:t>
      </w:r>
      <w:r>
        <w:t>Préciser l’(les) année(s) et les mois auxquels se rapportent le montant de la Créance Réseau Irrécouvrable.</w:t>
      </w:r>
    </w:p>
    <w:p w14:paraId="1019CC3B" w14:textId="77777777" w:rsidR="00C85073" w:rsidRDefault="00C85073">
      <w:pPr>
        <w:pStyle w:val="Corpsdetexte"/>
        <w:spacing w:before="1"/>
        <w:rPr>
          <w:sz w:val="11"/>
        </w:rPr>
        <w:sectPr w:rsidR="00C85073">
          <w:pgSz w:w="11910" w:h="16840"/>
          <w:pgMar w:top="620" w:right="1320" w:bottom="280" w:left="1680" w:header="720" w:footer="720" w:gutter="0"/>
          <w:cols w:space="720"/>
        </w:sectPr>
      </w:pPr>
    </w:p>
    <w:p w14:paraId="48BCB48C" w14:textId="77777777" w:rsidR="00C85073" w:rsidRDefault="00C85073">
      <w:pPr>
        <w:pStyle w:val="Corpsdetexte"/>
        <w:spacing w:before="1"/>
        <w:rPr>
          <w:sz w:val="11"/>
        </w:rPr>
      </w:pPr>
    </w:p>
    <w:sectPr w:rsidR="00C85073" w:rsidSect="00C85073">
      <w:type w:val="continuous"/>
      <w:pgSz w:w="11910" w:h="16840"/>
      <w:pgMar w:top="620" w:right="13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6E87B" w14:textId="77777777" w:rsidR="009B20AE" w:rsidRDefault="009B20AE" w:rsidP="00A648A2">
      <w:r>
        <w:separator/>
      </w:r>
    </w:p>
  </w:endnote>
  <w:endnote w:type="continuationSeparator" w:id="0">
    <w:p w14:paraId="057B41CB" w14:textId="77777777" w:rsidR="009B20AE" w:rsidRDefault="009B20AE" w:rsidP="00A6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9D56" w14:textId="77777777" w:rsidR="00C85073" w:rsidRDefault="00C8507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>
      <w:rPr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37A0C9AE" w14:textId="77777777" w:rsidR="00C85073" w:rsidRDefault="00C85073">
    <w:pPr>
      <w:pStyle w:val="Pieddepage"/>
    </w:pPr>
    <w:r>
      <w:rPr>
        <w:rStyle w:val="fontstyle01"/>
      </w:rPr>
      <w:t>Annexe 6 au contrat GRD-F : V9.0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00E5" w14:textId="77777777" w:rsidR="009B20AE" w:rsidRDefault="009B20AE" w:rsidP="00A648A2">
      <w:r>
        <w:separator/>
      </w:r>
    </w:p>
  </w:footnote>
  <w:footnote w:type="continuationSeparator" w:id="0">
    <w:p w14:paraId="1CE9B34A" w14:textId="77777777" w:rsidR="009B20AE" w:rsidRDefault="009B20AE" w:rsidP="00A64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3BA97887"/>
    <w:multiLevelType w:val="hybridMultilevel"/>
    <w:tmpl w:val="333CFA80"/>
    <w:lvl w:ilvl="0" w:tplc="97DC5D30">
      <w:start w:val="1"/>
      <w:numFmt w:val="decimal"/>
      <w:lvlText w:val="%1."/>
      <w:lvlJc w:val="left"/>
      <w:pPr>
        <w:ind w:left="665" w:hanging="360"/>
        <w:jc w:val="left"/>
      </w:pPr>
      <w:rPr>
        <w:rFonts w:hint="default"/>
        <w:spacing w:val="-1"/>
        <w:w w:val="99"/>
        <w:lang w:val="fr-FR" w:eastAsia="en-US" w:bidi="ar-SA"/>
      </w:rPr>
    </w:lvl>
    <w:lvl w:ilvl="1" w:tplc="517A4958">
      <w:numFmt w:val="bullet"/>
      <w:lvlText w:val="•"/>
      <w:lvlJc w:val="left"/>
      <w:pPr>
        <w:ind w:left="1484" w:hanging="360"/>
      </w:pPr>
      <w:rPr>
        <w:rFonts w:hint="default"/>
        <w:lang w:val="fr-FR" w:eastAsia="en-US" w:bidi="ar-SA"/>
      </w:rPr>
    </w:lvl>
    <w:lvl w:ilvl="2" w:tplc="2AA6800E">
      <w:numFmt w:val="bullet"/>
      <w:lvlText w:val="•"/>
      <w:lvlJc w:val="left"/>
      <w:pPr>
        <w:ind w:left="2309" w:hanging="360"/>
      </w:pPr>
      <w:rPr>
        <w:rFonts w:hint="default"/>
        <w:lang w:val="fr-FR" w:eastAsia="en-US" w:bidi="ar-SA"/>
      </w:rPr>
    </w:lvl>
    <w:lvl w:ilvl="3" w:tplc="3E1E7006">
      <w:numFmt w:val="bullet"/>
      <w:lvlText w:val="•"/>
      <w:lvlJc w:val="left"/>
      <w:pPr>
        <w:ind w:left="3133" w:hanging="360"/>
      </w:pPr>
      <w:rPr>
        <w:rFonts w:hint="default"/>
        <w:lang w:val="fr-FR" w:eastAsia="en-US" w:bidi="ar-SA"/>
      </w:rPr>
    </w:lvl>
    <w:lvl w:ilvl="4" w:tplc="FD2E9812">
      <w:numFmt w:val="bullet"/>
      <w:lvlText w:val="•"/>
      <w:lvlJc w:val="left"/>
      <w:pPr>
        <w:ind w:left="3958" w:hanging="360"/>
      </w:pPr>
      <w:rPr>
        <w:rFonts w:hint="default"/>
        <w:lang w:val="fr-FR" w:eastAsia="en-US" w:bidi="ar-SA"/>
      </w:rPr>
    </w:lvl>
    <w:lvl w:ilvl="5" w:tplc="525AB8C4">
      <w:numFmt w:val="bullet"/>
      <w:lvlText w:val="•"/>
      <w:lvlJc w:val="left"/>
      <w:pPr>
        <w:ind w:left="4783" w:hanging="360"/>
      </w:pPr>
      <w:rPr>
        <w:rFonts w:hint="default"/>
        <w:lang w:val="fr-FR" w:eastAsia="en-US" w:bidi="ar-SA"/>
      </w:rPr>
    </w:lvl>
    <w:lvl w:ilvl="6" w:tplc="A7446D64">
      <w:numFmt w:val="bullet"/>
      <w:lvlText w:val="•"/>
      <w:lvlJc w:val="left"/>
      <w:pPr>
        <w:ind w:left="5607" w:hanging="360"/>
      </w:pPr>
      <w:rPr>
        <w:rFonts w:hint="default"/>
        <w:lang w:val="fr-FR" w:eastAsia="en-US" w:bidi="ar-SA"/>
      </w:rPr>
    </w:lvl>
    <w:lvl w:ilvl="7" w:tplc="23245F58">
      <w:numFmt w:val="bullet"/>
      <w:lvlText w:val="•"/>
      <w:lvlJc w:val="left"/>
      <w:pPr>
        <w:ind w:left="6432" w:hanging="360"/>
      </w:pPr>
      <w:rPr>
        <w:rFonts w:hint="default"/>
        <w:lang w:val="fr-FR" w:eastAsia="en-US" w:bidi="ar-SA"/>
      </w:rPr>
    </w:lvl>
    <w:lvl w:ilvl="8" w:tplc="3AF2B992">
      <w:numFmt w:val="bullet"/>
      <w:lvlText w:val="•"/>
      <w:lvlJc w:val="left"/>
      <w:pPr>
        <w:ind w:left="7257" w:hanging="360"/>
      </w:pPr>
      <w:rPr>
        <w:rFonts w:hint="default"/>
        <w:lang w:val="fr-FR" w:eastAsia="en-US" w:bidi="ar-SA"/>
      </w:rPr>
    </w:lvl>
  </w:abstractNum>
  <w:abstractNum w:abstractNumId="1" w15:restartNumberingAfterBreak="1">
    <w:nsid w:val="5069255C"/>
    <w:multiLevelType w:val="hybridMultilevel"/>
    <w:tmpl w:val="F2AE93F2"/>
    <w:lvl w:ilvl="0" w:tplc="18A283A6">
      <w:numFmt w:val="bullet"/>
      <w:lvlText w:val=""/>
      <w:lvlJc w:val="left"/>
      <w:pPr>
        <w:ind w:left="173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1" w:tplc="1F16FD12">
      <w:numFmt w:val="bullet"/>
      <w:lvlText w:val="•"/>
      <w:lvlJc w:val="left"/>
      <w:pPr>
        <w:ind w:left="2456" w:hanging="360"/>
      </w:pPr>
      <w:rPr>
        <w:rFonts w:hint="default"/>
        <w:lang w:val="fr-FR" w:eastAsia="en-US" w:bidi="ar-SA"/>
      </w:rPr>
    </w:lvl>
    <w:lvl w:ilvl="2" w:tplc="298ADCB8">
      <w:numFmt w:val="bullet"/>
      <w:lvlText w:val="•"/>
      <w:lvlJc w:val="left"/>
      <w:pPr>
        <w:ind w:left="3173" w:hanging="360"/>
      </w:pPr>
      <w:rPr>
        <w:rFonts w:hint="default"/>
        <w:lang w:val="fr-FR" w:eastAsia="en-US" w:bidi="ar-SA"/>
      </w:rPr>
    </w:lvl>
    <w:lvl w:ilvl="3" w:tplc="2822F450">
      <w:numFmt w:val="bullet"/>
      <w:lvlText w:val="•"/>
      <w:lvlJc w:val="left"/>
      <w:pPr>
        <w:ind w:left="3889" w:hanging="360"/>
      </w:pPr>
      <w:rPr>
        <w:rFonts w:hint="default"/>
        <w:lang w:val="fr-FR" w:eastAsia="en-US" w:bidi="ar-SA"/>
      </w:rPr>
    </w:lvl>
    <w:lvl w:ilvl="4" w:tplc="499A0B38">
      <w:numFmt w:val="bullet"/>
      <w:lvlText w:val="•"/>
      <w:lvlJc w:val="left"/>
      <w:pPr>
        <w:ind w:left="4606" w:hanging="360"/>
      </w:pPr>
      <w:rPr>
        <w:rFonts w:hint="default"/>
        <w:lang w:val="fr-FR" w:eastAsia="en-US" w:bidi="ar-SA"/>
      </w:rPr>
    </w:lvl>
    <w:lvl w:ilvl="5" w:tplc="E69205F4">
      <w:numFmt w:val="bullet"/>
      <w:lvlText w:val="•"/>
      <w:lvlJc w:val="left"/>
      <w:pPr>
        <w:ind w:left="5323" w:hanging="360"/>
      </w:pPr>
      <w:rPr>
        <w:rFonts w:hint="default"/>
        <w:lang w:val="fr-FR" w:eastAsia="en-US" w:bidi="ar-SA"/>
      </w:rPr>
    </w:lvl>
    <w:lvl w:ilvl="6" w:tplc="9A5E7954">
      <w:numFmt w:val="bullet"/>
      <w:lvlText w:val="•"/>
      <w:lvlJc w:val="left"/>
      <w:pPr>
        <w:ind w:left="6039" w:hanging="360"/>
      </w:pPr>
      <w:rPr>
        <w:rFonts w:hint="default"/>
        <w:lang w:val="fr-FR" w:eastAsia="en-US" w:bidi="ar-SA"/>
      </w:rPr>
    </w:lvl>
    <w:lvl w:ilvl="7" w:tplc="EF984884">
      <w:numFmt w:val="bullet"/>
      <w:lvlText w:val="•"/>
      <w:lvlJc w:val="left"/>
      <w:pPr>
        <w:ind w:left="6756" w:hanging="360"/>
      </w:pPr>
      <w:rPr>
        <w:rFonts w:hint="default"/>
        <w:lang w:val="fr-FR" w:eastAsia="en-US" w:bidi="ar-SA"/>
      </w:rPr>
    </w:lvl>
    <w:lvl w:ilvl="8" w:tplc="76B8FC24">
      <w:numFmt w:val="bullet"/>
      <w:lvlText w:val="•"/>
      <w:lvlJc w:val="left"/>
      <w:pPr>
        <w:ind w:left="7473" w:hanging="360"/>
      </w:pPr>
      <w:rPr>
        <w:rFonts w:hint="default"/>
        <w:lang w:val="fr-FR" w:eastAsia="en-US" w:bidi="ar-SA"/>
      </w:rPr>
    </w:lvl>
  </w:abstractNum>
  <w:abstractNum w:abstractNumId="2" w15:restartNumberingAfterBreak="1">
    <w:nsid w:val="5C0B4AFF"/>
    <w:multiLevelType w:val="hybridMultilevel"/>
    <w:tmpl w:val="C284C358"/>
    <w:lvl w:ilvl="0" w:tplc="99B8D000">
      <w:numFmt w:val="bullet"/>
      <w:lvlText w:val="-"/>
      <w:lvlJc w:val="left"/>
      <w:pPr>
        <w:ind w:left="1090" w:hanging="360"/>
      </w:pPr>
      <w:rPr>
        <w:rFonts w:ascii="Arial" w:eastAsia="Arial" w:hAnsi="Arial" w:cs="Arial" w:hint="default"/>
        <w:w w:val="99"/>
        <w:sz w:val="20"/>
        <w:szCs w:val="20"/>
        <w:lang w:val="fr-FR" w:eastAsia="en-US" w:bidi="ar-SA"/>
      </w:rPr>
    </w:lvl>
    <w:lvl w:ilvl="1" w:tplc="106AFC96">
      <w:numFmt w:val="bullet"/>
      <w:lvlText w:val="•"/>
      <w:lvlJc w:val="left"/>
      <w:pPr>
        <w:ind w:left="1910" w:hanging="360"/>
      </w:pPr>
      <w:rPr>
        <w:rFonts w:hint="default"/>
        <w:lang w:val="fr-FR" w:eastAsia="en-US" w:bidi="ar-SA"/>
      </w:rPr>
    </w:lvl>
    <w:lvl w:ilvl="2" w:tplc="C2886642">
      <w:numFmt w:val="bullet"/>
      <w:lvlText w:val="•"/>
      <w:lvlJc w:val="left"/>
      <w:pPr>
        <w:ind w:left="2721" w:hanging="360"/>
      </w:pPr>
      <w:rPr>
        <w:rFonts w:hint="default"/>
        <w:lang w:val="fr-FR" w:eastAsia="en-US" w:bidi="ar-SA"/>
      </w:rPr>
    </w:lvl>
    <w:lvl w:ilvl="3" w:tplc="876CD97E">
      <w:numFmt w:val="bullet"/>
      <w:lvlText w:val="•"/>
      <w:lvlJc w:val="left"/>
      <w:pPr>
        <w:ind w:left="3531" w:hanging="360"/>
      </w:pPr>
      <w:rPr>
        <w:rFonts w:hint="default"/>
        <w:lang w:val="fr-FR" w:eastAsia="en-US" w:bidi="ar-SA"/>
      </w:rPr>
    </w:lvl>
    <w:lvl w:ilvl="4" w:tplc="528E7BBE">
      <w:numFmt w:val="bullet"/>
      <w:lvlText w:val="•"/>
      <w:lvlJc w:val="left"/>
      <w:pPr>
        <w:ind w:left="4342" w:hanging="360"/>
      </w:pPr>
      <w:rPr>
        <w:rFonts w:hint="default"/>
        <w:lang w:val="fr-FR" w:eastAsia="en-US" w:bidi="ar-SA"/>
      </w:rPr>
    </w:lvl>
    <w:lvl w:ilvl="5" w:tplc="838AEB90">
      <w:numFmt w:val="bullet"/>
      <w:lvlText w:val="•"/>
      <w:lvlJc w:val="left"/>
      <w:pPr>
        <w:ind w:left="5153" w:hanging="360"/>
      </w:pPr>
      <w:rPr>
        <w:rFonts w:hint="default"/>
        <w:lang w:val="fr-FR" w:eastAsia="en-US" w:bidi="ar-SA"/>
      </w:rPr>
    </w:lvl>
    <w:lvl w:ilvl="6" w:tplc="BCA6E40E">
      <w:numFmt w:val="bullet"/>
      <w:lvlText w:val="•"/>
      <w:lvlJc w:val="left"/>
      <w:pPr>
        <w:ind w:left="5963" w:hanging="360"/>
      </w:pPr>
      <w:rPr>
        <w:rFonts w:hint="default"/>
        <w:lang w:val="fr-FR" w:eastAsia="en-US" w:bidi="ar-SA"/>
      </w:rPr>
    </w:lvl>
    <w:lvl w:ilvl="7" w:tplc="6D1C2C0E">
      <w:numFmt w:val="bullet"/>
      <w:lvlText w:val="•"/>
      <w:lvlJc w:val="left"/>
      <w:pPr>
        <w:ind w:left="6774" w:hanging="360"/>
      </w:pPr>
      <w:rPr>
        <w:rFonts w:hint="default"/>
        <w:lang w:val="fr-FR" w:eastAsia="en-US" w:bidi="ar-SA"/>
      </w:rPr>
    </w:lvl>
    <w:lvl w:ilvl="8" w:tplc="6A829B7E">
      <w:numFmt w:val="bullet"/>
      <w:lvlText w:val="•"/>
      <w:lvlJc w:val="left"/>
      <w:pPr>
        <w:ind w:left="7585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smYem6m4GawTwUmebhk9CewVX/VqkpzySjGAWbh9jPDluq6rW12QVbg6qXpN8Zw6vxnOC0Lfrn4OhvqcbVCwA==" w:salt="MnLC5QfF96rxQSbNcjk5Ew==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62"/>
    <w:rsid w:val="000840B2"/>
    <w:rsid w:val="00197AE5"/>
    <w:rsid w:val="002E27CE"/>
    <w:rsid w:val="00462A04"/>
    <w:rsid w:val="00527BDF"/>
    <w:rsid w:val="00584462"/>
    <w:rsid w:val="006C6A92"/>
    <w:rsid w:val="007977AA"/>
    <w:rsid w:val="009B20AE"/>
    <w:rsid w:val="00A648A2"/>
    <w:rsid w:val="00B45D47"/>
    <w:rsid w:val="00BF4BA9"/>
    <w:rsid w:val="00C85073"/>
    <w:rsid w:val="00CE630C"/>
    <w:rsid w:val="00E31026"/>
    <w:rsid w:val="00ED66B5"/>
    <w:rsid w:val="00F0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DA8E"/>
  <w15:docId w15:val="{DC9A82A2-0CF4-4F1D-B17F-893A6CEE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665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648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48A2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48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48A2"/>
    <w:rPr>
      <w:rFonts w:ascii="Calibri" w:eastAsia="Calibri" w:hAnsi="Calibri" w:cs="Calibri"/>
      <w:lang w:val="fr-FR"/>
    </w:rPr>
  </w:style>
  <w:style w:type="character" w:customStyle="1" w:styleId="fontstyle01">
    <w:name w:val="fontstyle01"/>
    <w:basedOn w:val="Policepardfaut"/>
    <w:rsid w:val="00A648A2"/>
    <w:rPr>
      <w:rFonts w:ascii="Calibri" w:hAnsi="Calibri" w:hint="default"/>
      <w:b w:val="0"/>
      <w:bCs w:val="0"/>
      <w:i w:val="0"/>
      <w:iCs w:val="0"/>
      <w:color w:val="575757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31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A3920-D2D1-4CD5-AB39-F5D334D674ED}"/>
      </w:docPartPr>
      <w:docPartBody>
        <w:p w:rsidR="0063094D" w:rsidRDefault="007E6907">
          <w:r w:rsidRPr="0076327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907"/>
    <w:rsid w:val="0063094D"/>
    <w:rsid w:val="007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690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6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6</dc:title>
  <dc:subject>Mise en œuvre de l’article 7.1</dc:subject>
  <dc:creator>Christophe CHAUVET</dc:creator>
  <cp:lastModifiedBy>Matthieu euzen</cp:lastModifiedBy>
  <cp:revision>4</cp:revision>
  <cp:lastPrinted>2021-04-29T06:44:00Z</cp:lastPrinted>
  <dcterms:created xsi:type="dcterms:W3CDTF">2021-05-18T08:51:00Z</dcterms:created>
  <dcterms:modified xsi:type="dcterms:W3CDTF">2021-07-20T07:25:00Z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2021-04-01T00:00:00Z</vt:filetime>
  </property>
</Properties>
</file>