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08CC5D" w14:textId="77777777" w:rsidR="00E84092" w:rsidRDefault="00E84092">
      <w:pPr>
        <w:pStyle w:val="Corpsdetexte"/>
        <w:rPr>
          <w:rFonts w:ascii="Times New Roman"/>
        </w:rPr>
      </w:pPr>
    </w:p>
    <w:p w14:paraId="6194FD99" w14:textId="77777777" w:rsidR="00E84092" w:rsidRDefault="00E84092" w:rsidP="00B23F1A">
      <w:pPr>
        <w:pStyle w:val="Corpsdetexte"/>
        <w:rPr>
          <w:b/>
          <w:color w:val="005EB8"/>
          <w:sz w:val="28"/>
        </w:rPr>
      </w:pPr>
      <w:r>
        <w:rPr>
          <w:b/>
          <w:color w:val="005EB8"/>
          <w:sz w:val="28"/>
        </w:rPr>
        <w:t xml:space="preserve">Annexe 8 : </w:t>
      </w:r>
      <w:r w:rsidRPr="00EA759B">
        <w:rPr>
          <w:b/>
          <w:color w:val="005EB8"/>
          <w:sz w:val="28"/>
        </w:rPr>
        <w:t>Règles d’accès et d’utilisation de la Plate-forme d’échange du GRD</w:t>
      </w:r>
    </w:p>
    <w:p w14:paraId="2BD1D37D" w14:textId="77777777" w:rsidR="00E84092" w:rsidRDefault="00E84092" w:rsidP="00B23F1A">
      <w:pPr>
        <w:pStyle w:val="Corpsdetexte"/>
        <w:rPr>
          <w:b/>
          <w:color w:val="005EB8"/>
          <w:sz w:val="28"/>
        </w:rPr>
      </w:pPr>
    </w:p>
    <w:p w14:paraId="2BAB3462" w14:textId="77777777" w:rsidR="00E84092" w:rsidRDefault="00E84092" w:rsidP="00B23F1A">
      <w:pPr>
        <w:pStyle w:val="Corpsdetexte"/>
        <w:rPr>
          <w:rFonts w:ascii="Times New Roman"/>
        </w:rPr>
      </w:pPr>
    </w:p>
    <w:tbl>
      <w:tblPr>
        <w:tblStyle w:val="TableNormal"/>
        <w:tblW w:w="9379" w:type="dxa"/>
        <w:tblInd w:w="119" w:type="dxa"/>
        <w:tblLayout w:type="fixed"/>
        <w:tblLook w:val="01E0" w:firstRow="1" w:lastRow="1" w:firstColumn="1" w:lastColumn="1" w:noHBand="0" w:noVBand="0"/>
      </w:tblPr>
      <w:tblGrid>
        <w:gridCol w:w="1866"/>
        <w:gridCol w:w="7513"/>
      </w:tblGrid>
      <w:tr w:rsidR="00E84092" w14:paraId="0CB04B15" w14:textId="77777777" w:rsidTr="00B038E7">
        <w:trPr>
          <w:trHeight w:val="567"/>
        </w:trPr>
        <w:tc>
          <w:tcPr>
            <w:tcW w:w="1866" w:type="dxa"/>
          </w:tcPr>
          <w:p w14:paraId="62056280" w14:textId="77777777" w:rsidR="00E84092" w:rsidRDefault="00E84092" w:rsidP="003E6854">
            <w:pPr>
              <w:pStyle w:val="TableParagraph"/>
              <w:spacing w:before="6"/>
              <w:rPr>
                <w:rFonts w:ascii="Times New Roman"/>
                <w:sz w:val="25"/>
              </w:rPr>
            </w:pPr>
          </w:p>
          <w:p w14:paraId="03A0AC9C" w14:textId="77777777" w:rsidR="00E84092" w:rsidRDefault="00E84092" w:rsidP="003E6854">
            <w:pPr>
              <w:pStyle w:val="TableParagraph"/>
              <w:spacing w:before="1"/>
              <w:ind w:left="200"/>
              <w:rPr>
                <w:b/>
                <w:sz w:val="20"/>
              </w:rPr>
            </w:pPr>
            <w:r>
              <w:rPr>
                <w:b/>
                <w:color w:val="005EB8"/>
                <w:sz w:val="20"/>
              </w:rPr>
              <w:t>Identification :</w:t>
            </w:r>
          </w:p>
        </w:tc>
        <w:tc>
          <w:tcPr>
            <w:tcW w:w="7513" w:type="dxa"/>
          </w:tcPr>
          <w:p w14:paraId="460A838F" w14:textId="77777777" w:rsidR="00E84092" w:rsidRDefault="00E84092" w:rsidP="003E6854">
            <w:pPr>
              <w:pStyle w:val="TableParagraph"/>
              <w:spacing w:before="6"/>
              <w:rPr>
                <w:rFonts w:ascii="Times New Roman"/>
                <w:sz w:val="25"/>
              </w:rPr>
            </w:pPr>
          </w:p>
          <w:p w14:paraId="1C65E935" w14:textId="77777777" w:rsidR="00E84092" w:rsidRDefault="00E84092" w:rsidP="003E6854">
            <w:pPr>
              <w:pStyle w:val="TableParagraph"/>
              <w:spacing w:before="1"/>
              <w:ind w:left="128"/>
              <w:rPr>
                <w:b/>
                <w:sz w:val="20"/>
              </w:rPr>
            </w:pPr>
            <w:r>
              <w:rPr>
                <w:b/>
                <w:color w:val="005EB8"/>
                <w:sz w:val="20"/>
              </w:rPr>
              <w:t xml:space="preserve">Annexes 8 du contrat GRD-F - </w:t>
            </w:r>
            <w:r w:rsidRPr="004D2399">
              <w:rPr>
                <w:b/>
                <w:noProof/>
                <w:color w:val="005EB8"/>
                <w:sz w:val="20"/>
              </w:rPr>
              <w:t>Régie d'Electricité d'Elbeuf</w:t>
            </w:r>
          </w:p>
        </w:tc>
      </w:tr>
      <w:tr w:rsidR="00E84092" w14:paraId="13B767E8" w14:textId="77777777" w:rsidTr="00B038E7">
        <w:trPr>
          <w:trHeight w:val="294"/>
        </w:trPr>
        <w:tc>
          <w:tcPr>
            <w:tcW w:w="1866" w:type="dxa"/>
          </w:tcPr>
          <w:p w14:paraId="623D1A47" w14:textId="77777777" w:rsidR="00E84092" w:rsidRDefault="00E84092" w:rsidP="003E6854">
            <w:pPr>
              <w:pStyle w:val="TableParagraph"/>
              <w:spacing w:before="10"/>
              <w:ind w:left="200"/>
              <w:rPr>
                <w:b/>
                <w:sz w:val="20"/>
              </w:rPr>
            </w:pPr>
            <w:r>
              <w:rPr>
                <w:b/>
                <w:color w:val="005EB8"/>
                <w:sz w:val="20"/>
              </w:rPr>
              <w:t>Version :</w:t>
            </w:r>
          </w:p>
        </w:tc>
        <w:tc>
          <w:tcPr>
            <w:tcW w:w="7513" w:type="dxa"/>
          </w:tcPr>
          <w:p w14:paraId="5D25F1BB" w14:textId="77777777" w:rsidR="00E84092" w:rsidRDefault="00E84092" w:rsidP="003E6854">
            <w:pPr>
              <w:pStyle w:val="TableParagraph"/>
              <w:spacing w:line="236" w:lineRule="exact"/>
              <w:ind w:left="128"/>
              <w:rPr>
                <w:b/>
                <w:sz w:val="20"/>
              </w:rPr>
            </w:pPr>
            <w:r>
              <w:rPr>
                <w:b/>
                <w:color w:val="005EB8"/>
                <w:sz w:val="20"/>
              </w:rPr>
              <w:t>9.0</w:t>
            </w:r>
          </w:p>
        </w:tc>
      </w:tr>
      <w:tr w:rsidR="00E84092" w14:paraId="1E8EAE4A" w14:textId="77777777" w:rsidTr="00B038E7">
        <w:trPr>
          <w:trHeight w:val="242"/>
        </w:trPr>
        <w:tc>
          <w:tcPr>
            <w:tcW w:w="1866" w:type="dxa"/>
          </w:tcPr>
          <w:p w14:paraId="7E19E201" w14:textId="77777777" w:rsidR="00E84092" w:rsidRDefault="00E84092" w:rsidP="003E6854">
            <w:pPr>
              <w:pStyle w:val="TableParagraph"/>
              <w:spacing w:before="2" w:line="220" w:lineRule="exact"/>
              <w:ind w:left="200"/>
              <w:rPr>
                <w:b/>
                <w:sz w:val="20"/>
              </w:rPr>
            </w:pPr>
            <w:r>
              <w:rPr>
                <w:b/>
                <w:color w:val="005EB8"/>
                <w:sz w:val="20"/>
              </w:rPr>
              <w:t xml:space="preserve">Nb. </w:t>
            </w:r>
            <w:proofErr w:type="gramStart"/>
            <w:r>
              <w:rPr>
                <w:b/>
                <w:color w:val="005EB8"/>
                <w:sz w:val="20"/>
              </w:rPr>
              <w:t>de</w:t>
            </w:r>
            <w:proofErr w:type="gramEnd"/>
            <w:r>
              <w:rPr>
                <w:b/>
                <w:color w:val="005EB8"/>
                <w:sz w:val="20"/>
              </w:rPr>
              <w:t xml:space="preserve"> pages :</w:t>
            </w:r>
          </w:p>
        </w:tc>
        <w:tc>
          <w:tcPr>
            <w:tcW w:w="7513" w:type="dxa"/>
          </w:tcPr>
          <w:p w14:paraId="42003F71" w14:textId="77777777" w:rsidR="00E84092" w:rsidRDefault="00E84092" w:rsidP="003E6854">
            <w:pPr>
              <w:pStyle w:val="TableParagraph"/>
              <w:spacing w:before="2" w:line="220" w:lineRule="exact"/>
              <w:ind w:left="128"/>
              <w:rPr>
                <w:b/>
                <w:sz w:val="20"/>
              </w:rPr>
            </w:pPr>
            <w:r>
              <w:rPr>
                <w:b/>
                <w:color w:val="005EB8"/>
                <w:w w:val="99"/>
                <w:sz w:val="20"/>
              </w:rPr>
              <w:t>2</w:t>
            </w:r>
          </w:p>
        </w:tc>
      </w:tr>
    </w:tbl>
    <w:p w14:paraId="62C1175C" w14:textId="77777777" w:rsidR="00E84092" w:rsidRDefault="00E84092">
      <w:pPr>
        <w:pStyle w:val="Corpsdetexte"/>
        <w:rPr>
          <w:rFonts w:ascii="Times New Roman"/>
        </w:rPr>
      </w:pPr>
    </w:p>
    <w:p w14:paraId="24AA1365" w14:textId="77777777" w:rsidR="00E84092" w:rsidRDefault="00E84092">
      <w:pPr>
        <w:pStyle w:val="Corpsdetexte"/>
        <w:rPr>
          <w:rFonts w:ascii="Times New Roman"/>
        </w:rPr>
      </w:pPr>
    </w:p>
    <w:p w14:paraId="2BB6BD8B" w14:textId="77777777" w:rsidR="00E84092" w:rsidRDefault="00E84092">
      <w:pPr>
        <w:pStyle w:val="Corpsdetexte"/>
        <w:rPr>
          <w:rFonts w:ascii="Times New Roman"/>
        </w:rPr>
      </w:pPr>
      <w:r w:rsidRPr="002969E9">
        <w:rPr>
          <w:rFonts w:ascii="Calibri-Bold" w:hAnsi="Calibri-Bold"/>
          <w:b/>
          <w:bCs/>
          <w:color w:val="575757"/>
          <w:sz w:val="22"/>
          <w:szCs w:val="22"/>
        </w:rPr>
        <w:t>Résumé / Avertissement</w:t>
      </w:r>
      <w:r w:rsidRPr="002969E9">
        <w:rPr>
          <w:rFonts w:ascii="Calibri-Bold" w:hAnsi="Calibri-Bold"/>
          <w:b/>
          <w:bCs/>
          <w:color w:val="575757"/>
          <w:sz w:val="22"/>
          <w:szCs w:val="22"/>
        </w:rPr>
        <w:br/>
      </w:r>
      <w:r w:rsidRPr="002969E9">
        <w:rPr>
          <w:rFonts w:ascii="Calibri" w:hAnsi="Calibri"/>
          <w:color w:val="575757"/>
          <w:sz w:val="22"/>
          <w:szCs w:val="22"/>
        </w:rPr>
        <w:t>Cette annexe définit les modalités et règles d’accès et d’échange de la plate-forme du GRD. Cette annexe</w:t>
      </w:r>
      <w:r>
        <w:rPr>
          <w:rFonts w:ascii="Calibri" w:hAnsi="Calibri"/>
          <w:color w:val="575757"/>
          <w:sz w:val="22"/>
          <w:szCs w:val="22"/>
        </w:rPr>
        <w:t xml:space="preserve"> </w:t>
      </w:r>
      <w:r w:rsidRPr="002969E9">
        <w:rPr>
          <w:rFonts w:ascii="Calibri" w:hAnsi="Calibri"/>
          <w:color w:val="575757"/>
          <w:sz w:val="22"/>
          <w:szCs w:val="22"/>
        </w:rPr>
        <w:t>sera mise à jour au rythme de l’évolution du SI du GRD et de sa plate-forme.</w:t>
      </w:r>
    </w:p>
    <w:p w14:paraId="1C924BA6" w14:textId="77777777" w:rsidR="00E84092" w:rsidRDefault="00E84092">
      <w:pPr>
        <w:pStyle w:val="Corpsdetexte"/>
        <w:rPr>
          <w:rFonts w:ascii="Times New Roman"/>
        </w:rPr>
      </w:pPr>
    </w:p>
    <w:p w14:paraId="336CE417" w14:textId="77777777" w:rsidR="00E84092" w:rsidRDefault="00E84092" w:rsidP="00B038E7">
      <w:pPr>
        <w:pStyle w:val="Corpsdetexte"/>
        <w:jc w:val="center"/>
        <w:rPr>
          <w:rFonts w:ascii="Times New Roman"/>
        </w:rPr>
      </w:pPr>
      <w:r>
        <w:rPr>
          <w:noProof/>
        </w:rPr>
        <w:drawing>
          <wp:inline distT="0" distB="0" distL="0" distR="0" wp14:anchorId="1EC1F14E" wp14:editId="11530E09">
            <wp:extent cx="3634740" cy="3634740"/>
            <wp:effectExtent l="0" t="0" r="3810" b="381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34740" cy="3634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771673" w14:textId="77777777" w:rsidR="00E84092" w:rsidRDefault="00E84092">
      <w:pPr>
        <w:pStyle w:val="Corpsdetexte"/>
        <w:rPr>
          <w:rFonts w:ascii="Times New Roman"/>
        </w:rPr>
      </w:pPr>
    </w:p>
    <w:p w14:paraId="3AA540A6" w14:textId="77777777" w:rsidR="00E84092" w:rsidRDefault="00E84092">
      <w:pPr>
        <w:pStyle w:val="Corpsdetexte"/>
        <w:rPr>
          <w:rFonts w:ascii="Times New Roman"/>
        </w:rPr>
      </w:pPr>
    </w:p>
    <w:p w14:paraId="70ADF858" w14:textId="77777777" w:rsidR="00E84092" w:rsidRDefault="00E84092">
      <w:pPr>
        <w:pStyle w:val="Corpsdetexte"/>
        <w:spacing w:before="4"/>
        <w:rPr>
          <w:rFonts w:ascii="Times New Roman"/>
          <w:sz w:val="23"/>
        </w:rPr>
      </w:pPr>
    </w:p>
    <w:p w14:paraId="5D1D3237" w14:textId="77777777" w:rsidR="00E84092" w:rsidRDefault="00E84092">
      <w:pPr>
        <w:spacing w:line="256" w:lineRule="exact"/>
        <w:jc w:val="center"/>
        <w:rPr>
          <w:sz w:val="24"/>
        </w:rPr>
        <w:sectPr w:rsidR="00E84092" w:rsidSect="00E84092">
          <w:footerReference w:type="default" r:id="rId9"/>
          <w:pgSz w:w="11910" w:h="17340"/>
          <w:pgMar w:top="1640" w:right="1440" w:bottom="280" w:left="1680" w:header="720" w:footer="720" w:gutter="0"/>
          <w:pgNumType w:start="1"/>
          <w:cols w:space="720"/>
        </w:sectPr>
      </w:pPr>
    </w:p>
    <w:p w14:paraId="441C57B3" w14:textId="77777777" w:rsidR="00E84092" w:rsidRDefault="00E84092" w:rsidP="002969E9">
      <w:pPr>
        <w:spacing w:before="70"/>
        <w:ind w:left="284" w:right="245"/>
        <w:jc w:val="both"/>
        <w:rPr>
          <w:rFonts w:ascii="Calibri" w:hAnsi="Calibri"/>
          <w:color w:val="000000"/>
        </w:rPr>
      </w:pPr>
    </w:p>
    <w:p w14:paraId="0E5D4133" w14:textId="77777777" w:rsidR="00E84092" w:rsidRDefault="00E84092" w:rsidP="002969E9">
      <w:pPr>
        <w:spacing w:before="70"/>
        <w:ind w:left="284" w:right="245"/>
        <w:jc w:val="both"/>
        <w:rPr>
          <w:rFonts w:ascii="Calibri" w:hAnsi="Calibri"/>
          <w:color w:val="000000"/>
        </w:rPr>
      </w:pPr>
    </w:p>
    <w:p w14:paraId="2A9B0CD5" w14:textId="77777777" w:rsidR="00E84092" w:rsidRDefault="00E84092" w:rsidP="002969E9">
      <w:pPr>
        <w:spacing w:before="70"/>
        <w:ind w:left="284" w:right="245"/>
        <w:jc w:val="both"/>
        <w:rPr>
          <w:rFonts w:ascii="Calibri" w:hAnsi="Calibri"/>
          <w:color w:val="000000"/>
        </w:rPr>
      </w:pPr>
    </w:p>
    <w:p w14:paraId="19480FEA" w14:textId="77777777" w:rsidR="00E84092" w:rsidRDefault="00E84092" w:rsidP="002969E9">
      <w:pPr>
        <w:spacing w:before="70"/>
        <w:ind w:left="284" w:right="245"/>
        <w:jc w:val="both"/>
        <w:rPr>
          <w:rFonts w:ascii="Calibri" w:hAnsi="Calibri"/>
          <w:color w:val="000000"/>
        </w:rPr>
      </w:pPr>
      <w:r w:rsidRPr="002969E9">
        <w:rPr>
          <w:rFonts w:ascii="Calibri" w:hAnsi="Calibri"/>
          <w:color w:val="000000"/>
        </w:rPr>
        <w:t>La plate-forme du GRD se compose d’un système d’échange au titre du catalogue des prestations du GRD</w:t>
      </w:r>
      <w:r>
        <w:rPr>
          <w:rFonts w:ascii="Calibri" w:hAnsi="Calibri"/>
          <w:color w:val="000000"/>
        </w:rPr>
        <w:t xml:space="preserve"> </w:t>
      </w:r>
      <w:r w:rsidRPr="002969E9">
        <w:rPr>
          <w:rFonts w:ascii="Calibri" w:hAnsi="Calibri"/>
          <w:color w:val="000000"/>
        </w:rPr>
        <w:t>et d’un dispositif de transmission des flux à destination du fournisseur.</w:t>
      </w:r>
    </w:p>
    <w:p w14:paraId="7C9730E3" w14:textId="77777777" w:rsidR="00E84092" w:rsidRDefault="00E84092" w:rsidP="002969E9">
      <w:pPr>
        <w:spacing w:before="70"/>
        <w:ind w:left="284" w:right="245"/>
        <w:jc w:val="both"/>
        <w:rPr>
          <w:rFonts w:ascii="Calibri-Bold" w:hAnsi="Calibri-Bold"/>
          <w:b/>
          <w:bCs/>
          <w:color w:val="005EB8"/>
          <w:sz w:val="24"/>
          <w:szCs w:val="24"/>
        </w:rPr>
      </w:pPr>
      <w:r w:rsidRPr="002969E9">
        <w:rPr>
          <w:rFonts w:ascii="Calibri" w:hAnsi="Calibri"/>
          <w:color w:val="000000"/>
        </w:rPr>
        <w:br/>
      </w:r>
      <w:r w:rsidRPr="002969E9">
        <w:rPr>
          <w:rFonts w:ascii="Calibri-Bold" w:hAnsi="Calibri-Bold"/>
          <w:b/>
          <w:bCs/>
          <w:color w:val="005EB8"/>
          <w:sz w:val="24"/>
          <w:szCs w:val="24"/>
        </w:rPr>
        <w:t>1. Système d’échange au titre du catalogue des prestations</w:t>
      </w:r>
    </w:p>
    <w:p w14:paraId="4F3B6D19" w14:textId="77777777" w:rsidR="00E84092" w:rsidRDefault="00E84092" w:rsidP="002969E9">
      <w:pPr>
        <w:spacing w:before="70"/>
        <w:ind w:left="284" w:right="245"/>
        <w:jc w:val="both"/>
        <w:rPr>
          <w:rFonts w:ascii="Calibri" w:hAnsi="Calibri"/>
          <w:color w:val="000000"/>
        </w:rPr>
      </w:pPr>
      <w:r w:rsidRPr="002969E9">
        <w:rPr>
          <w:rFonts w:ascii="Calibri-Bold" w:hAnsi="Calibri-Bold"/>
          <w:b/>
          <w:bCs/>
          <w:color w:val="005EB8"/>
        </w:rPr>
        <w:br/>
      </w:r>
      <w:r w:rsidRPr="002969E9">
        <w:rPr>
          <w:rFonts w:ascii="Calibri" w:hAnsi="Calibri"/>
          <w:color w:val="000000"/>
        </w:rPr>
        <w:t>Le système mis en place par le GRD repose sur dispositif d’échange par courriel des demandes de</w:t>
      </w:r>
      <w:r>
        <w:rPr>
          <w:rFonts w:ascii="Calibri" w:hAnsi="Calibri"/>
          <w:color w:val="000000"/>
        </w:rPr>
        <w:t xml:space="preserve"> </w:t>
      </w:r>
      <w:r w:rsidRPr="002969E9">
        <w:rPr>
          <w:rFonts w:ascii="Calibri" w:hAnsi="Calibri"/>
          <w:color w:val="000000"/>
        </w:rPr>
        <w:t>prestation du Fournisseur via des fiches standardisées transmises par l</w:t>
      </w:r>
      <w:r>
        <w:rPr>
          <w:rFonts w:ascii="Calibri" w:hAnsi="Calibri"/>
          <w:color w:val="000000"/>
        </w:rPr>
        <w:t>e</w:t>
      </w:r>
      <w:r w:rsidRPr="002969E9">
        <w:rPr>
          <w:rFonts w:ascii="Calibri" w:hAnsi="Calibri"/>
          <w:color w:val="000000"/>
        </w:rPr>
        <w:t xml:space="preserve"> GRD lors de la signature du contrat</w:t>
      </w:r>
      <w:r>
        <w:rPr>
          <w:rFonts w:ascii="Calibri" w:hAnsi="Calibri"/>
          <w:color w:val="000000"/>
        </w:rPr>
        <w:t xml:space="preserve"> </w:t>
      </w:r>
      <w:r w:rsidRPr="002969E9">
        <w:rPr>
          <w:rFonts w:ascii="Calibri" w:hAnsi="Calibri"/>
          <w:color w:val="000000"/>
        </w:rPr>
        <w:t>GRD-F. Les adresses d’envoi sont précisées en annexe 9 du présent contrat.</w:t>
      </w:r>
    </w:p>
    <w:p w14:paraId="35D54301" w14:textId="77777777" w:rsidR="00E84092" w:rsidRDefault="00E84092" w:rsidP="002969E9">
      <w:pPr>
        <w:spacing w:before="70"/>
        <w:ind w:left="284" w:right="245"/>
        <w:jc w:val="both"/>
        <w:rPr>
          <w:rFonts w:ascii="Calibri" w:hAnsi="Calibri"/>
          <w:color w:val="000000"/>
        </w:rPr>
      </w:pPr>
      <w:r w:rsidRPr="002969E9">
        <w:rPr>
          <w:rFonts w:ascii="Calibri" w:hAnsi="Calibri"/>
          <w:color w:val="000000"/>
        </w:rPr>
        <w:t xml:space="preserve">Dans le cadre d’évolution de son SI, le GRD </w:t>
      </w:r>
      <w:r>
        <w:rPr>
          <w:rFonts w:ascii="Calibri" w:hAnsi="Calibri"/>
          <w:color w:val="000000"/>
        </w:rPr>
        <w:t>envisage</w:t>
      </w:r>
      <w:r w:rsidRPr="002969E9">
        <w:rPr>
          <w:rFonts w:ascii="Calibri" w:hAnsi="Calibri"/>
          <w:color w:val="000000"/>
        </w:rPr>
        <w:t xml:space="preserve"> </w:t>
      </w:r>
      <w:r>
        <w:rPr>
          <w:rFonts w:ascii="Calibri" w:hAnsi="Calibri"/>
          <w:color w:val="000000"/>
        </w:rPr>
        <w:t>la</w:t>
      </w:r>
      <w:r w:rsidRPr="002969E9">
        <w:rPr>
          <w:rFonts w:ascii="Calibri" w:hAnsi="Calibri"/>
          <w:color w:val="000000"/>
        </w:rPr>
        <w:t xml:space="preserve"> </w:t>
      </w:r>
      <w:r>
        <w:rPr>
          <w:rFonts w:ascii="Calibri" w:hAnsi="Calibri"/>
          <w:color w:val="000000"/>
        </w:rPr>
        <w:t xml:space="preserve">mise en </w:t>
      </w:r>
      <w:r w:rsidRPr="002969E9">
        <w:rPr>
          <w:rFonts w:ascii="Calibri" w:hAnsi="Calibri"/>
          <w:color w:val="000000"/>
        </w:rPr>
        <w:t xml:space="preserve">place </w:t>
      </w:r>
      <w:r>
        <w:rPr>
          <w:rFonts w:ascii="Calibri" w:hAnsi="Calibri"/>
          <w:color w:val="000000"/>
        </w:rPr>
        <w:t>d’</w:t>
      </w:r>
      <w:r w:rsidRPr="002969E9">
        <w:rPr>
          <w:rFonts w:ascii="Calibri" w:hAnsi="Calibri"/>
          <w:color w:val="000000"/>
        </w:rPr>
        <w:t>une plate-forme d’échange via un portail</w:t>
      </w:r>
      <w:r>
        <w:rPr>
          <w:rFonts w:ascii="Calibri" w:hAnsi="Calibri"/>
          <w:color w:val="000000"/>
        </w:rPr>
        <w:t xml:space="preserve"> </w:t>
      </w:r>
      <w:r w:rsidRPr="002969E9">
        <w:rPr>
          <w:rFonts w:ascii="Calibri" w:hAnsi="Calibri"/>
          <w:color w:val="000000"/>
        </w:rPr>
        <w:t>accessible au fournisseur.</w:t>
      </w:r>
    </w:p>
    <w:p w14:paraId="51785EEB" w14:textId="77777777" w:rsidR="00E84092" w:rsidRDefault="00E84092" w:rsidP="002969E9">
      <w:pPr>
        <w:spacing w:before="70"/>
        <w:ind w:left="284" w:right="245"/>
        <w:jc w:val="both"/>
        <w:rPr>
          <w:rFonts w:ascii="Calibri" w:hAnsi="Calibri"/>
          <w:color w:val="000000"/>
        </w:rPr>
      </w:pPr>
    </w:p>
    <w:p w14:paraId="11DE4A3F" w14:textId="77777777" w:rsidR="00E84092" w:rsidRDefault="00E84092" w:rsidP="002969E9">
      <w:pPr>
        <w:spacing w:before="70"/>
        <w:ind w:left="284" w:right="245"/>
        <w:jc w:val="both"/>
        <w:rPr>
          <w:rFonts w:ascii="Calibri-Bold" w:hAnsi="Calibri-Bold"/>
          <w:b/>
          <w:bCs/>
          <w:color w:val="005EB8"/>
          <w:sz w:val="24"/>
          <w:szCs w:val="24"/>
        </w:rPr>
      </w:pPr>
      <w:r w:rsidRPr="002969E9">
        <w:rPr>
          <w:rFonts w:ascii="Calibri-Bold" w:hAnsi="Calibri-Bold"/>
          <w:b/>
          <w:bCs/>
          <w:color w:val="005EB8"/>
          <w:sz w:val="24"/>
          <w:szCs w:val="24"/>
        </w:rPr>
        <w:t>2. Système d’échange des flux de données</w:t>
      </w:r>
    </w:p>
    <w:p w14:paraId="17D30371" w14:textId="77777777" w:rsidR="00E84092" w:rsidRDefault="00E84092" w:rsidP="002969E9">
      <w:pPr>
        <w:spacing w:before="70"/>
        <w:ind w:left="284" w:right="245"/>
        <w:jc w:val="both"/>
        <w:rPr>
          <w:rFonts w:ascii="Calibri" w:hAnsi="Calibri"/>
          <w:color w:val="000000"/>
        </w:rPr>
      </w:pPr>
      <w:r w:rsidRPr="002969E9">
        <w:rPr>
          <w:rFonts w:ascii="Calibri-Bold" w:hAnsi="Calibri-Bold"/>
          <w:b/>
          <w:bCs/>
          <w:color w:val="005EB8"/>
        </w:rPr>
        <w:br/>
      </w:r>
      <w:r w:rsidRPr="002969E9">
        <w:rPr>
          <w:rFonts w:ascii="Calibri" w:hAnsi="Calibri"/>
          <w:color w:val="000000"/>
        </w:rPr>
        <w:t xml:space="preserve">Le GRD procède à la transmission des données nécessaires par échange des flux </w:t>
      </w:r>
      <w:r>
        <w:rPr>
          <w:rFonts w:ascii="Calibri" w:hAnsi="Calibri"/>
          <w:color w:val="000000"/>
        </w:rPr>
        <w:t>de type EDK.</w:t>
      </w:r>
    </w:p>
    <w:p w14:paraId="1537D481" w14:textId="77777777" w:rsidR="00E84092" w:rsidRDefault="00E84092" w:rsidP="002969E9">
      <w:pPr>
        <w:spacing w:before="70"/>
        <w:ind w:left="284" w:right="245"/>
        <w:jc w:val="both"/>
        <w:rPr>
          <w:rFonts w:ascii="Calibri" w:hAnsi="Calibri"/>
          <w:color w:val="000000"/>
        </w:rPr>
      </w:pPr>
      <w:r w:rsidRPr="002969E9">
        <w:rPr>
          <w:rFonts w:ascii="Calibri" w:hAnsi="Calibri"/>
          <w:color w:val="000000"/>
        </w:rPr>
        <w:t>Les échanges sont effectués par envoi mensuel de fichiers à l’adresse courriel spécifiée par le fournisseur à</w:t>
      </w:r>
      <w:r>
        <w:rPr>
          <w:rFonts w:ascii="Calibri" w:hAnsi="Calibri"/>
          <w:color w:val="000000"/>
        </w:rPr>
        <w:t xml:space="preserve"> </w:t>
      </w:r>
      <w:r w:rsidRPr="002969E9">
        <w:rPr>
          <w:rFonts w:ascii="Calibri" w:hAnsi="Calibri"/>
          <w:color w:val="000000"/>
        </w:rPr>
        <w:t>l’annexe 9 du présent contrat.</w:t>
      </w:r>
    </w:p>
    <w:p w14:paraId="19E01329" w14:textId="77777777" w:rsidR="00E84092" w:rsidRDefault="00E84092" w:rsidP="002969E9">
      <w:pPr>
        <w:spacing w:before="70"/>
        <w:ind w:left="284" w:right="245"/>
        <w:jc w:val="both"/>
        <w:rPr>
          <w:rFonts w:ascii="Calibri" w:hAnsi="Calibri"/>
          <w:color w:val="000000"/>
        </w:rPr>
      </w:pPr>
    </w:p>
    <w:p w14:paraId="444BCB82" w14:textId="77777777" w:rsidR="00E84092" w:rsidRDefault="00E84092" w:rsidP="002969E9">
      <w:pPr>
        <w:spacing w:before="70"/>
        <w:ind w:left="284" w:right="245"/>
        <w:jc w:val="both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Le GRD met à disposition des fournisseurs un portail d’échange dit « </w:t>
      </w:r>
      <w:r w:rsidRPr="00F13EF2">
        <w:rPr>
          <w:rFonts w:ascii="Calibri" w:hAnsi="Calibri"/>
          <w:color w:val="000000"/>
        </w:rPr>
        <w:t>Portail GRD-Fournisseurs</w:t>
      </w:r>
      <w:r>
        <w:rPr>
          <w:rFonts w:ascii="Calibri" w:hAnsi="Calibri"/>
          <w:color w:val="000000"/>
        </w:rPr>
        <w:t xml:space="preserve"> » </w:t>
      </w:r>
      <w:r w:rsidRPr="00F13EF2">
        <w:rPr>
          <w:rFonts w:ascii="Calibri" w:hAnsi="Calibri"/>
          <w:color w:val="000000"/>
        </w:rPr>
        <w:t xml:space="preserve">: </w:t>
      </w:r>
      <w:hyperlink r:id="rId10" w:history="1">
        <w:r w:rsidRPr="004D2399">
          <w:rPr>
            <w:rStyle w:val="Lienhypertexte"/>
            <w:rFonts w:ascii="Calibri" w:hAnsi="Calibri"/>
          </w:rPr>
          <w:t>https://ree.multield.net/</w:t>
        </w:r>
      </w:hyperlink>
    </w:p>
    <w:p w14:paraId="2ACB1C3C" w14:textId="77777777" w:rsidR="00E84092" w:rsidRDefault="00E84092" w:rsidP="002969E9">
      <w:pPr>
        <w:spacing w:before="70"/>
        <w:ind w:left="284" w:right="245"/>
        <w:jc w:val="both"/>
        <w:rPr>
          <w:rFonts w:ascii="Calibri" w:hAnsi="Calibri"/>
          <w:color w:val="000000"/>
        </w:rPr>
        <w:sectPr w:rsidR="00E84092">
          <w:pgSz w:w="11910" w:h="16840"/>
          <w:pgMar w:top="620" w:right="1480" w:bottom="280" w:left="1680" w:header="720" w:footer="720" w:gutter="0"/>
          <w:cols w:space="720"/>
        </w:sectPr>
      </w:pPr>
    </w:p>
    <w:p w14:paraId="4D06F3C0" w14:textId="77777777" w:rsidR="00E84092" w:rsidRPr="002969E9" w:rsidRDefault="00E84092" w:rsidP="002969E9">
      <w:pPr>
        <w:spacing w:before="70"/>
        <w:ind w:left="284" w:right="245"/>
        <w:jc w:val="both"/>
        <w:rPr>
          <w:rFonts w:ascii="Calibri" w:hAnsi="Calibri"/>
          <w:color w:val="000000"/>
        </w:rPr>
      </w:pPr>
    </w:p>
    <w:sectPr w:rsidR="00E84092" w:rsidRPr="002969E9" w:rsidSect="00E84092">
      <w:type w:val="continuous"/>
      <w:pgSz w:w="11910" w:h="16840"/>
      <w:pgMar w:top="620" w:right="1480" w:bottom="280" w:left="16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CE34F9" w14:textId="77777777" w:rsidR="005E7014" w:rsidRDefault="005E7014" w:rsidP="002969E9">
      <w:r>
        <w:separator/>
      </w:r>
    </w:p>
  </w:endnote>
  <w:endnote w:type="continuationSeparator" w:id="0">
    <w:p w14:paraId="14DBADAF" w14:textId="77777777" w:rsidR="005E7014" w:rsidRDefault="005E7014" w:rsidP="002969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-Bold">
    <w:altName w:val="Calibri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62EBB9" w14:textId="77777777" w:rsidR="00E84092" w:rsidRDefault="00E84092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  <w:sz w:val="24"/>
        <w:szCs w:val="24"/>
      </w:rPr>
    </w:pPr>
    <w:r>
      <w:rPr>
        <w:color w:val="548DD4" w:themeColor="text2" w:themeTint="99"/>
        <w:spacing w:val="60"/>
        <w:sz w:val="24"/>
        <w:szCs w:val="24"/>
      </w:rPr>
      <w:t>Page</w:t>
    </w:r>
    <w:r>
      <w:rPr>
        <w:color w:val="548DD4" w:themeColor="text2" w:themeTint="99"/>
        <w:sz w:val="24"/>
        <w:szCs w:val="24"/>
      </w:rPr>
      <w:t xml:space="preserve"> </w:t>
    </w:r>
    <w:r>
      <w:rPr>
        <w:color w:val="17365D" w:themeColor="text2" w:themeShade="BF"/>
        <w:sz w:val="24"/>
        <w:szCs w:val="24"/>
      </w:rPr>
      <w:fldChar w:fldCharType="begin"/>
    </w:r>
    <w:r>
      <w:rPr>
        <w:color w:val="17365D" w:themeColor="text2" w:themeShade="BF"/>
        <w:sz w:val="24"/>
        <w:szCs w:val="24"/>
      </w:rPr>
      <w:instrText>PAGE   \* MERGEFORMAT</w:instrText>
    </w:r>
    <w:r>
      <w:rPr>
        <w:color w:val="17365D" w:themeColor="text2" w:themeShade="BF"/>
        <w:sz w:val="24"/>
        <w:szCs w:val="24"/>
      </w:rPr>
      <w:fldChar w:fldCharType="separate"/>
    </w:r>
    <w:r>
      <w:rPr>
        <w:color w:val="17365D" w:themeColor="text2" w:themeShade="BF"/>
        <w:sz w:val="24"/>
        <w:szCs w:val="24"/>
      </w:rPr>
      <w:t>1</w:t>
    </w:r>
    <w:r>
      <w:rPr>
        <w:color w:val="17365D" w:themeColor="text2" w:themeShade="BF"/>
        <w:sz w:val="24"/>
        <w:szCs w:val="24"/>
      </w:rPr>
      <w:fldChar w:fldCharType="end"/>
    </w:r>
    <w:r>
      <w:rPr>
        <w:color w:val="17365D" w:themeColor="text2" w:themeShade="BF"/>
        <w:sz w:val="24"/>
        <w:szCs w:val="24"/>
      </w:rPr>
      <w:t xml:space="preserve"> | </w:t>
    </w:r>
    <w:r>
      <w:rPr>
        <w:color w:val="17365D" w:themeColor="text2" w:themeShade="BF"/>
        <w:sz w:val="24"/>
        <w:szCs w:val="24"/>
      </w:rPr>
      <w:fldChar w:fldCharType="begin"/>
    </w:r>
    <w:r>
      <w:rPr>
        <w:color w:val="17365D" w:themeColor="text2" w:themeShade="BF"/>
        <w:sz w:val="24"/>
        <w:szCs w:val="24"/>
      </w:rPr>
      <w:instrText>NUMPAGES  \* Arabic  \* MERGEFORMAT</w:instrText>
    </w:r>
    <w:r>
      <w:rPr>
        <w:color w:val="17365D" w:themeColor="text2" w:themeShade="BF"/>
        <w:sz w:val="24"/>
        <w:szCs w:val="24"/>
      </w:rPr>
      <w:fldChar w:fldCharType="separate"/>
    </w:r>
    <w:r>
      <w:rPr>
        <w:color w:val="17365D" w:themeColor="text2" w:themeShade="BF"/>
        <w:sz w:val="24"/>
        <w:szCs w:val="24"/>
      </w:rPr>
      <w:t>1</w:t>
    </w:r>
    <w:r>
      <w:rPr>
        <w:color w:val="17365D" w:themeColor="text2" w:themeShade="BF"/>
        <w:sz w:val="24"/>
        <w:szCs w:val="24"/>
      </w:rPr>
      <w:fldChar w:fldCharType="end"/>
    </w:r>
  </w:p>
  <w:p w14:paraId="15F9F86B" w14:textId="77777777" w:rsidR="00E84092" w:rsidRDefault="00E8409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5A330F" w14:textId="77777777" w:rsidR="005E7014" w:rsidRDefault="005E7014" w:rsidP="002969E9">
      <w:r>
        <w:separator/>
      </w:r>
    </w:p>
  </w:footnote>
  <w:footnote w:type="continuationSeparator" w:id="0">
    <w:p w14:paraId="3457298D" w14:textId="77777777" w:rsidR="005E7014" w:rsidRDefault="005E7014" w:rsidP="002969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2DCD5D7B"/>
    <w:multiLevelType w:val="multilevel"/>
    <w:tmpl w:val="5BECEA10"/>
    <w:lvl w:ilvl="0">
      <w:start w:val="3"/>
      <w:numFmt w:val="decimal"/>
      <w:lvlText w:val="%1"/>
      <w:lvlJc w:val="left"/>
      <w:pPr>
        <w:ind w:left="732" w:hanging="428"/>
        <w:jc w:val="left"/>
      </w:pPr>
      <w:rPr>
        <w:rFonts w:hint="default"/>
        <w:lang w:val="fr-FR" w:eastAsia="en-US" w:bidi="ar-SA"/>
      </w:rPr>
    </w:lvl>
    <w:lvl w:ilvl="1">
      <w:start w:val="1"/>
      <w:numFmt w:val="decimal"/>
      <w:lvlText w:val="%1.%2."/>
      <w:lvlJc w:val="left"/>
      <w:pPr>
        <w:ind w:left="732" w:hanging="428"/>
        <w:jc w:val="left"/>
      </w:pPr>
      <w:rPr>
        <w:rFonts w:ascii="Arial Narrow" w:eastAsia="Arial Narrow" w:hAnsi="Arial Narrow" w:cs="Arial Narrow" w:hint="default"/>
        <w:b/>
        <w:bCs/>
        <w:w w:val="100"/>
        <w:sz w:val="24"/>
        <w:szCs w:val="24"/>
        <w:lang w:val="fr-FR" w:eastAsia="en-US" w:bidi="ar-SA"/>
      </w:rPr>
    </w:lvl>
    <w:lvl w:ilvl="2">
      <w:numFmt w:val="bullet"/>
      <w:lvlText w:val="•"/>
      <w:lvlJc w:val="left"/>
      <w:pPr>
        <w:ind w:left="2341" w:hanging="428"/>
      </w:pPr>
      <w:rPr>
        <w:rFonts w:hint="default"/>
        <w:lang w:val="fr-FR" w:eastAsia="en-US" w:bidi="ar-SA"/>
      </w:rPr>
    </w:lvl>
    <w:lvl w:ilvl="3">
      <w:numFmt w:val="bullet"/>
      <w:lvlText w:val="•"/>
      <w:lvlJc w:val="left"/>
      <w:pPr>
        <w:ind w:left="3141" w:hanging="428"/>
      </w:pPr>
      <w:rPr>
        <w:rFonts w:hint="default"/>
        <w:lang w:val="fr-FR" w:eastAsia="en-US" w:bidi="ar-SA"/>
      </w:rPr>
    </w:lvl>
    <w:lvl w:ilvl="4">
      <w:numFmt w:val="bullet"/>
      <w:lvlText w:val="•"/>
      <w:lvlJc w:val="left"/>
      <w:pPr>
        <w:ind w:left="3942" w:hanging="428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4743" w:hanging="428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5543" w:hanging="428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6344" w:hanging="428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7145" w:hanging="428"/>
      </w:pPr>
      <w:rPr>
        <w:rFonts w:hint="default"/>
        <w:lang w:val="fr-FR" w:eastAsia="en-US" w:bidi="ar-SA"/>
      </w:rPr>
    </w:lvl>
  </w:abstractNum>
  <w:abstractNum w:abstractNumId="1" w15:restartNumberingAfterBreak="1">
    <w:nsid w:val="2E03745D"/>
    <w:multiLevelType w:val="hybridMultilevel"/>
    <w:tmpl w:val="CCFEAAFA"/>
    <w:lvl w:ilvl="0" w:tplc="C6F064D0">
      <w:numFmt w:val="bullet"/>
      <w:lvlText w:val=""/>
      <w:lvlJc w:val="left"/>
      <w:pPr>
        <w:ind w:left="732" w:hanging="286"/>
      </w:pPr>
      <w:rPr>
        <w:rFonts w:ascii="Wingdings" w:eastAsia="Wingdings" w:hAnsi="Wingdings" w:cs="Wingdings" w:hint="default"/>
        <w:color w:val="005EB8"/>
        <w:w w:val="100"/>
        <w:sz w:val="18"/>
        <w:szCs w:val="18"/>
        <w:lang w:val="fr-FR" w:eastAsia="en-US" w:bidi="ar-SA"/>
      </w:rPr>
    </w:lvl>
    <w:lvl w:ilvl="1" w:tplc="DD9AE926">
      <w:numFmt w:val="bullet"/>
      <w:lvlText w:val="•"/>
      <w:lvlJc w:val="left"/>
      <w:pPr>
        <w:ind w:left="1540" w:hanging="286"/>
      </w:pPr>
      <w:rPr>
        <w:rFonts w:hint="default"/>
        <w:lang w:val="fr-FR" w:eastAsia="en-US" w:bidi="ar-SA"/>
      </w:rPr>
    </w:lvl>
    <w:lvl w:ilvl="2" w:tplc="1424226C">
      <w:numFmt w:val="bullet"/>
      <w:lvlText w:val="•"/>
      <w:lvlJc w:val="left"/>
      <w:pPr>
        <w:ind w:left="2341" w:hanging="286"/>
      </w:pPr>
      <w:rPr>
        <w:rFonts w:hint="default"/>
        <w:lang w:val="fr-FR" w:eastAsia="en-US" w:bidi="ar-SA"/>
      </w:rPr>
    </w:lvl>
    <w:lvl w:ilvl="3" w:tplc="15606312">
      <w:numFmt w:val="bullet"/>
      <w:lvlText w:val="•"/>
      <w:lvlJc w:val="left"/>
      <w:pPr>
        <w:ind w:left="3141" w:hanging="286"/>
      </w:pPr>
      <w:rPr>
        <w:rFonts w:hint="default"/>
        <w:lang w:val="fr-FR" w:eastAsia="en-US" w:bidi="ar-SA"/>
      </w:rPr>
    </w:lvl>
    <w:lvl w:ilvl="4" w:tplc="00669D1E">
      <w:numFmt w:val="bullet"/>
      <w:lvlText w:val="•"/>
      <w:lvlJc w:val="left"/>
      <w:pPr>
        <w:ind w:left="3942" w:hanging="286"/>
      </w:pPr>
      <w:rPr>
        <w:rFonts w:hint="default"/>
        <w:lang w:val="fr-FR" w:eastAsia="en-US" w:bidi="ar-SA"/>
      </w:rPr>
    </w:lvl>
    <w:lvl w:ilvl="5" w:tplc="F4E21334">
      <w:numFmt w:val="bullet"/>
      <w:lvlText w:val="•"/>
      <w:lvlJc w:val="left"/>
      <w:pPr>
        <w:ind w:left="4743" w:hanging="286"/>
      </w:pPr>
      <w:rPr>
        <w:rFonts w:hint="default"/>
        <w:lang w:val="fr-FR" w:eastAsia="en-US" w:bidi="ar-SA"/>
      </w:rPr>
    </w:lvl>
    <w:lvl w:ilvl="6" w:tplc="F1F28CF0">
      <w:numFmt w:val="bullet"/>
      <w:lvlText w:val="•"/>
      <w:lvlJc w:val="left"/>
      <w:pPr>
        <w:ind w:left="5543" w:hanging="286"/>
      </w:pPr>
      <w:rPr>
        <w:rFonts w:hint="default"/>
        <w:lang w:val="fr-FR" w:eastAsia="en-US" w:bidi="ar-SA"/>
      </w:rPr>
    </w:lvl>
    <w:lvl w:ilvl="7" w:tplc="50CC1AC2">
      <w:numFmt w:val="bullet"/>
      <w:lvlText w:val="•"/>
      <w:lvlJc w:val="left"/>
      <w:pPr>
        <w:ind w:left="6344" w:hanging="286"/>
      </w:pPr>
      <w:rPr>
        <w:rFonts w:hint="default"/>
        <w:lang w:val="fr-FR" w:eastAsia="en-US" w:bidi="ar-SA"/>
      </w:rPr>
    </w:lvl>
    <w:lvl w:ilvl="8" w:tplc="0D7C9E96">
      <w:numFmt w:val="bullet"/>
      <w:lvlText w:val="•"/>
      <w:lvlJc w:val="left"/>
      <w:pPr>
        <w:ind w:left="7145" w:hanging="286"/>
      </w:pPr>
      <w:rPr>
        <w:rFonts w:hint="default"/>
        <w:lang w:val="fr-FR" w:eastAsia="en-US" w:bidi="ar-SA"/>
      </w:rPr>
    </w:lvl>
  </w:abstractNum>
  <w:abstractNum w:abstractNumId="2" w15:restartNumberingAfterBreak="1">
    <w:nsid w:val="5F5A38DF"/>
    <w:multiLevelType w:val="hybridMultilevel"/>
    <w:tmpl w:val="F4806618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1">
    <w:nsid w:val="7B414043"/>
    <w:multiLevelType w:val="hybridMultilevel"/>
    <w:tmpl w:val="2A3A3DE0"/>
    <w:lvl w:ilvl="0" w:tplc="040C0001">
      <w:start w:val="1"/>
      <w:numFmt w:val="bullet"/>
      <w:lvlText w:val=""/>
      <w:lvlJc w:val="left"/>
      <w:pPr>
        <w:ind w:left="102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8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Th70AgTY5TZlqB4Dll0h65D5gbvpX2fGr6E1fpPB38I3paj2H2Tt13NkE6DxrmaMbqVUjMEx5zsenLwAMgMohQ==" w:salt="DryCerqIwSUoWDHmcqtNUw==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5CF5"/>
    <w:rsid w:val="000E5CF5"/>
    <w:rsid w:val="00260E6E"/>
    <w:rsid w:val="002969E9"/>
    <w:rsid w:val="004F4372"/>
    <w:rsid w:val="005E7014"/>
    <w:rsid w:val="005F541D"/>
    <w:rsid w:val="00654599"/>
    <w:rsid w:val="007025E9"/>
    <w:rsid w:val="007318FD"/>
    <w:rsid w:val="00952CCE"/>
    <w:rsid w:val="009863B7"/>
    <w:rsid w:val="0099112C"/>
    <w:rsid w:val="00B038E7"/>
    <w:rsid w:val="00B23F1A"/>
    <w:rsid w:val="00D7258D"/>
    <w:rsid w:val="00E84092"/>
    <w:rsid w:val="00EA759B"/>
    <w:rsid w:val="00F13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AD40DC"/>
  <w15:docId w15:val="{DC9A82A2-0CF4-4F1D-B17F-893A6CEE6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fr-FR"/>
    </w:rPr>
  </w:style>
  <w:style w:type="paragraph" w:styleId="Titre1">
    <w:name w:val="heading 1"/>
    <w:basedOn w:val="Normal"/>
    <w:uiPriority w:val="9"/>
    <w:qFormat/>
    <w:pPr>
      <w:spacing w:before="100"/>
      <w:ind w:left="732" w:hanging="428"/>
      <w:outlineLvl w:val="0"/>
    </w:pPr>
    <w:rPr>
      <w:rFonts w:ascii="Arial Narrow" w:eastAsia="Arial Narrow" w:hAnsi="Arial Narrow" w:cs="Arial Narrow"/>
      <w:b/>
      <w:bCs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sz w:val="20"/>
      <w:szCs w:val="20"/>
    </w:rPr>
  </w:style>
  <w:style w:type="paragraph" w:styleId="Paragraphedeliste">
    <w:name w:val="List Paragraph"/>
    <w:basedOn w:val="Normal"/>
    <w:uiPriority w:val="1"/>
    <w:qFormat/>
    <w:pPr>
      <w:spacing w:before="100"/>
      <w:ind w:left="732" w:hanging="428"/>
    </w:pPr>
  </w:style>
  <w:style w:type="paragraph" w:customStyle="1" w:styleId="TableParagraph">
    <w:name w:val="Table Paragraph"/>
    <w:basedOn w:val="Normal"/>
    <w:uiPriority w:val="1"/>
    <w:qFormat/>
  </w:style>
  <w:style w:type="character" w:styleId="Lienhypertexte">
    <w:name w:val="Hyperlink"/>
    <w:basedOn w:val="Policepardfaut"/>
    <w:uiPriority w:val="99"/>
    <w:unhideWhenUsed/>
    <w:rsid w:val="00B23F1A"/>
    <w:rPr>
      <w:color w:val="0000FF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B23F1A"/>
    <w:rPr>
      <w:color w:val="605E5C"/>
      <w:shd w:val="clear" w:color="auto" w:fill="E1DFDD"/>
    </w:rPr>
  </w:style>
  <w:style w:type="character" w:customStyle="1" w:styleId="fontstyle01">
    <w:name w:val="fontstyle01"/>
    <w:basedOn w:val="Policepardfaut"/>
    <w:rsid w:val="0099112C"/>
    <w:rPr>
      <w:rFonts w:ascii="Calibri-Bold" w:hAnsi="Calibri-Bold" w:hint="default"/>
      <w:b/>
      <w:bCs/>
      <w:i w:val="0"/>
      <w:iCs w:val="0"/>
      <w:color w:val="005EB8"/>
      <w:sz w:val="24"/>
      <w:szCs w:val="24"/>
    </w:rPr>
  </w:style>
  <w:style w:type="character" w:customStyle="1" w:styleId="fontstyle21">
    <w:name w:val="fontstyle21"/>
    <w:basedOn w:val="Policepardfaut"/>
    <w:rsid w:val="0099112C"/>
    <w:rPr>
      <w:rFonts w:ascii="Calibri" w:hAnsi="Calibri" w:hint="default"/>
      <w:b w:val="0"/>
      <w:bCs w:val="0"/>
      <w:i w:val="0"/>
      <w:iCs w:val="0"/>
      <w:color w:val="000000"/>
      <w:sz w:val="22"/>
      <w:szCs w:val="22"/>
    </w:rPr>
  </w:style>
  <w:style w:type="paragraph" w:styleId="En-tte">
    <w:name w:val="header"/>
    <w:basedOn w:val="Normal"/>
    <w:link w:val="En-tteCar"/>
    <w:uiPriority w:val="99"/>
    <w:unhideWhenUsed/>
    <w:rsid w:val="002969E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2969E9"/>
    <w:rPr>
      <w:rFonts w:ascii="Arial" w:eastAsia="Arial" w:hAnsi="Arial" w:cs="Arial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2969E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969E9"/>
    <w:rPr>
      <w:rFonts w:ascii="Arial" w:eastAsia="Arial" w:hAnsi="Arial" w:cs="Arial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ree.multield.net/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D03C4F-4AE7-45B3-9C9B-F2FEC67540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232</Words>
  <Characters>1277</Characters>
  <Application>Microsoft Office Word</Application>
  <DocSecurity>0</DocSecurity>
  <Lines>10</Lines>
  <Paragraphs>3</Paragraphs>
  <ScaleCrop>false</ScaleCrop>
  <Company/>
  <LinksUpToDate>false</LinksUpToDate>
  <CharactersWithSpaces>1506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7</dc:title>
  <dc:subject>Modalités spécifiques du GRD</dc:subject>
  <dc:creator>FECHTER Sylvie</dc:creator>
  <cp:lastModifiedBy>Matthieu euzen</cp:lastModifiedBy>
  <cp:revision>2</cp:revision>
  <cp:lastPrinted>2021-04-29T06:46:00Z</cp:lastPrinted>
  <dcterms:created xsi:type="dcterms:W3CDTF">2021-05-18T09:00:00Z</dcterms:created>
  <dcterms:modified xsi:type="dcterms:W3CDTF">2021-07-20T07:25:00Z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2021-02-12T00:00:00Z</vt:filetime>
  </property>
  <property fmtid="{D5CDD505-2E9C-101B-9397-08002B2CF9AE}" pid="3" name="Creator">
    <vt:lpwstr>Microsoft® Word pour Microsoft 365</vt:lpwstr>
  </property>
  <property fmtid="{D5CDD505-2E9C-101B-9397-08002B2CF9AE}" pid="4" name="LastSaved">
    <vt:filetime>2021-04-01T00:00:00Z</vt:filetime>
  </property>
</Properties>
</file>